
<file path=[Content_Types].xml><?xml version="1.0" encoding="utf-8"?>
<Types xmlns="http://schemas.openxmlformats.org/package/2006/content-types">
  <Default Extension="xml" ContentType="application/xml"/>
  <Default Extension="emf" ContentType="image/x-e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282"/>
          <w:tab w:val="right" w:pos="9492"/>
          <w:tab w:val="clear" w:pos="4536"/>
          <w:tab w:val="clear" w:pos="9072"/>
        </w:tabs>
        <w:spacing w:before="108" w:after="108"/>
        <w:rPr>
          <w:rFonts w:eastAsia="宋体"/>
          <w:sz w:val="22"/>
          <w:szCs w:val="22"/>
          <w:lang w:eastAsia="zh-CN"/>
        </w:rPr>
      </w:pPr>
      <w:r>
        <w:rPr>
          <w:sz w:val="22"/>
          <w:szCs w:val="22"/>
        </w:rPr>
        <w:t xml:space="preserve">3GPP TSG RAN WG1 Meeting </w:t>
      </w:r>
      <w:r>
        <w:rPr>
          <w:rFonts w:hint="eastAsia"/>
          <w:sz w:val="22"/>
          <w:szCs w:val="22"/>
        </w:rPr>
        <w:t>#</w:t>
      </w:r>
      <w:r>
        <w:rPr>
          <w:rFonts w:hint="eastAsia" w:eastAsia="宋体"/>
          <w:sz w:val="22"/>
          <w:szCs w:val="22"/>
          <w:lang w:eastAsia="zh-CN"/>
        </w:rPr>
        <w:t>110bis</w:t>
      </w:r>
      <w:r>
        <w:rPr>
          <w:rFonts w:hint="eastAsia" w:eastAsia="宋体"/>
          <w:sz w:val="22"/>
          <w:szCs w:val="22"/>
          <w:lang w:val="en-US" w:eastAsia="zh-CN"/>
        </w:rPr>
        <w:t>-e</w:t>
      </w:r>
      <w:r>
        <w:rPr>
          <w:rFonts w:ascii="Times New Roman" w:hAnsi="Times New Roman" w:eastAsia="宋体"/>
          <w:sz w:val="23"/>
          <w:szCs w:val="23"/>
          <w:lang w:eastAsia="zh-CN"/>
        </w:rPr>
        <w:tab/>
      </w:r>
      <w:r>
        <w:rPr>
          <w:rFonts w:hint="eastAsia"/>
          <w:sz w:val="22"/>
          <w:szCs w:val="22"/>
          <w:lang w:eastAsia="ja-JP"/>
        </w:rPr>
        <w:t>R1-</w:t>
      </w:r>
      <w:r>
        <w:rPr>
          <w:rFonts w:hint="eastAsia"/>
          <w:sz w:val="22"/>
          <w:szCs w:val="22"/>
        </w:rPr>
        <w:t>2</w:t>
      </w:r>
      <w:r>
        <w:rPr>
          <w:rFonts w:hint="eastAsia" w:eastAsia="宋体"/>
          <w:sz w:val="22"/>
          <w:szCs w:val="22"/>
          <w:lang w:eastAsia="zh-CN"/>
        </w:rPr>
        <w:t>208507</w:t>
      </w:r>
    </w:p>
    <w:p>
      <w:pPr>
        <w:tabs>
          <w:tab w:val="center" w:pos="4536"/>
          <w:tab w:val="right" w:pos="9072"/>
        </w:tabs>
        <w:spacing w:before="108" w:after="108"/>
        <w:rPr>
          <w:rFonts w:eastAsia="宋体"/>
          <w:b/>
          <w:bCs/>
          <w:sz w:val="23"/>
          <w:szCs w:val="23"/>
        </w:rPr>
      </w:pPr>
      <w:r>
        <w:rPr>
          <w:rFonts w:hint="eastAsia" w:ascii="Arial" w:hAnsi="Arial" w:eastAsia="宋体"/>
          <w:b/>
          <w:sz w:val="22"/>
        </w:rPr>
        <w:t>e-Meeting</w:t>
      </w:r>
      <w:r>
        <w:rPr>
          <w:rFonts w:ascii="Arial" w:hAnsi="Arial"/>
          <w:b/>
          <w:sz w:val="22"/>
        </w:rPr>
        <w:t xml:space="preserve">, </w:t>
      </w:r>
      <w:r>
        <w:rPr>
          <w:rFonts w:hint="eastAsia" w:ascii="Arial" w:hAnsi="Arial" w:eastAsia="宋体"/>
          <w:b/>
          <w:sz w:val="22"/>
        </w:rPr>
        <w:t>October 10</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en-US"/>
        </w:rPr>
        <w:t xml:space="preserve"> </w:t>
      </w:r>
      <w:r>
        <w:rPr>
          <w:rFonts w:hint="eastAsia" w:ascii="Arial" w:hAnsi="Arial" w:eastAsia="宋体"/>
          <w:b/>
          <w:sz w:val="22"/>
        </w:rPr>
        <w:t>19</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ja-JP"/>
        </w:rPr>
        <w:t>20</w:t>
      </w:r>
      <w:r>
        <w:rPr>
          <w:rFonts w:hint="eastAsia" w:ascii="Arial" w:hAnsi="Arial" w:eastAsia="宋体"/>
          <w:b/>
          <w:sz w:val="22"/>
        </w:rPr>
        <w:t>22</w:t>
      </w:r>
    </w:p>
    <w:p>
      <w:pPr>
        <w:pStyle w:val="24"/>
        <w:tabs>
          <w:tab w:val="left" w:pos="1805"/>
          <w:tab w:val="clear" w:pos="4536"/>
        </w:tabs>
        <w:spacing w:before="108" w:after="108"/>
        <w:ind w:left="1803" w:hanging="1803"/>
        <w:rPr>
          <w:sz w:val="22"/>
          <w:szCs w:val="22"/>
          <w:lang w:eastAsia="zh-CN"/>
        </w:rPr>
      </w:pPr>
    </w:p>
    <w:p>
      <w:pPr>
        <w:pStyle w:val="24"/>
        <w:tabs>
          <w:tab w:val="left" w:pos="1805"/>
          <w:tab w:val="clear" w:pos="4536"/>
        </w:tabs>
        <w:spacing w:before="108" w:after="108"/>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24"/>
        <w:tabs>
          <w:tab w:val="left" w:pos="1800"/>
        </w:tabs>
        <w:spacing w:before="108" w:after="108"/>
        <w:ind w:left="1840" w:hanging="1833" w:hangingChars="833"/>
        <w:rPr>
          <w:rFonts w:eastAsia="宋体"/>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eastAsia="宋体"/>
          <w:sz w:val="22"/>
          <w:szCs w:val="22"/>
          <w:lang w:eastAsia="zh-CN"/>
        </w:rPr>
        <w:t>Enhancements on UL precoding indication for multi-panel transmission</w:t>
      </w:r>
    </w:p>
    <w:p>
      <w:pPr>
        <w:pStyle w:val="24"/>
        <w:tabs>
          <w:tab w:val="left" w:pos="1800"/>
        </w:tabs>
        <w:spacing w:before="108" w:after="108"/>
        <w:rPr>
          <w:rFonts w:ascii="Times New Roman" w:hAnsi="Times New Roman" w:eastAsia="宋体"/>
          <w:bCs/>
          <w:sz w:val="22"/>
          <w:szCs w:val="22"/>
          <w:lang w:eastAsia="zh-CN"/>
        </w:rPr>
      </w:pPr>
      <w:r>
        <w:rPr>
          <w:sz w:val="22"/>
          <w:szCs w:val="22"/>
          <w:lang w:eastAsia="zh-CN"/>
        </w:rPr>
        <w:t>Agenda Item:</w:t>
      </w:r>
      <w:bookmarkStart w:id="0" w:name="Source"/>
      <w:bookmarkEnd w:id="0"/>
      <w:r>
        <w:rPr>
          <w:rFonts w:ascii="Times New Roman" w:hAnsi="Times New Roman" w:eastAsia="宋体"/>
          <w:bCs/>
          <w:sz w:val="22"/>
          <w:szCs w:val="22"/>
          <w:lang w:eastAsia="zh-CN"/>
        </w:rPr>
        <w:tab/>
      </w:r>
      <w:r>
        <w:rPr>
          <w:rFonts w:hint="eastAsia" w:eastAsia="宋体"/>
          <w:sz w:val="22"/>
          <w:szCs w:val="22"/>
          <w:lang w:eastAsia="zh-CN"/>
        </w:rPr>
        <w:t>9.1.4.1</w:t>
      </w:r>
    </w:p>
    <w:p>
      <w:pPr>
        <w:pBdr>
          <w:bottom w:val="single" w:color="auto" w:sz="6" w:space="1"/>
        </w:pBdr>
        <w:spacing w:before="108" w:after="108"/>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pStyle w:val="2"/>
        <w:keepNext/>
        <w:tabs>
          <w:tab w:val="left" w:pos="3686"/>
          <w:tab w:val="left" w:pos="4536"/>
        </w:tabs>
        <w:spacing w:before="180" w:after="180" w:line="240" w:lineRule="auto"/>
        <w:textAlignment w:val="baseline"/>
        <w:rPr>
          <w:rFonts w:eastAsia="Arial Unicode MS"/>
          <w:sz w:val="28"/>
          <w:szCs w:val="28"/>
        </w:rPr>
      </w:pPr>
      <w:r>
        <w:rPr>
          <w:rFonts w:eastAsia="Arial Unicode MS"/>
          <w:sz w:val="28"/>
          <w:szCs w:val="28"/>
        </w:rPr>
        <w:t>Introduction</w:t>
      </w:r>
    </w:p>
    <w:p>
      <w:pPr>
        <w:spacing w:before="108" w:after="108"/>
      </w:pPr>
      <w:r>
        <w:rPr>
          <w:rFonts w:eastAsia="宋体"/>
        </w:rPr>
        <w:t>I</w:t>
      </w:r>
      <w:r>
        <w:rPr>
          <w:rFonts w:hint="eastAsia" w:eastAsia="宋体"/>
        </w:rPr>
        <w:t xml:space="preserve">n </w:t>
      </w:r>
      <w:r>
        <w:rPr>
          <w:rFonts w:eastAsia="宋体"/>
        </w:rPr>
        <w:t>3</w:t>
      </w:r>
      <w:r>
        <w:rPr>
          <w:rFonts w:hint="eastAsia" w:eastAsia="宋体"/>
        </w:rPr>
        <w:t>GPP</w:t>
      </w:r>
      <w:r>
        <w:rPr>
          <w:rFonts w:eastAsia="宋体"/>
        </w:rPr>
        <w:t xml:space="preserve"> </w:t>
      </w:r>
      <w:r>
        <w:rPr>
          <w:rFonts w:hint="eastAsia" w:eastAsia="宋体"/>
        </w:rPr>
        <w:t>RAN#94-e meeting</w:t>
      </w:r>
      <w:r>
        <w:rPr>
          <w:rFonts w:eastAsia="宋体"/>
        </w:rPr>
        <w:t xml:space="preserve">, </w:t>
      </w:r>
      <w:r>
        <w:t xml:space="preserve">a new work item on </w:t>
      </w:r>
      <w:r>
        <w:rPr>
          <w:rFonts w:hint="eastAsia" w:eastAsia="宋体"/>
        </w:rPr>
        <w:t xml:space="preserve">MIMO evolution for downlink and uplink </w:t>
      </w:r>
      <w:r>
        <w:t>has been approved</w:t>
      </w:r>
      <w:r>
        <w:rPr>
          <w:rFonts w:hint="eastAsia" w:eastAsia="宋体"/>
        </w:rPr>
        <w:t xml:space="preserve"> in </w:t>
      </w:r>
      <w:r>
        <w:t xml:space="preserve">[1]. As shown </w:t>
      </w:r>
      <w:r>
        <w:rPr>
          <w:rFonts w:hint="eastAsia" w:eastAsia="宋体"/>
        </w:rPr>
        <w:t xml:space="preserve">in </w:t>
      </w:r>
      <w:r>
        <w:t xml:space="preserve">below, the enhancement on </w:t>
      </w:r>
      <w:r>
        <w:rPr>
          <w:bCs/>
        </w:rPr>
        <w:t>simultaneous UL transmission</w:t>
      </w:r>
      <w:r>
        <w:rPr>
          <w:rFonts w:hint="eastAsia" w:eastAsia="宋体"/>
          <w:bCs/>
        </w:rPr>
        <w:t xml:space="preserve"> across </w:t>
      </w:r>
      <w:r>
        <w:rPr>
          <w:bCs/>
        </w:rPr>
        <w:t>multi-panel</w:t>
      </w:r>
      <w:r>
        <w:rPr>
          <w:rFonts w:hint="eastAsia" w:eastAsia="宋体"/>
          <w:bCs/>
        </w:rPr>
        <w:t xml:space="preserve"> to MTRP operation</w:t>
      </w:r>
      <w:r>
        <w:t xml:space="preserve"> is one of the objectives for this WI:</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0"/>
                <w:numId w:val="5"/>
              </w:numPr>
              <w:spacing w:before="108" w:after="108"/>
              <w:ind w:left="420"/>
              <w:rPr>
                <w:bCs/>
              </w:rPr>
            </w:pPr>
            <w:r>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pPr>
              <w:numPr>
                <w:ilvl w:val="1"/>
                <w:numId w:val="6"/>
              </w:numPr>
              <w:spacing w:before="108" w:after="108"/>
              <w:ind w:left="840"/>
              <w:rPr>
                <w:bCs/>
              </w:rPr>
            </w:pPr>
            <w:r>
              <w:rPr>
                <w:bCs/>
              </w:rPr>
              <w:t>UL precoding indication for PUSCH, where no new codebook is introduced for multi-panel simultaneous transmission</w:t>
            </w:r>
          </w:p>
          <w:p>
            <w:pPr>
              <w:numPr>
                <w:ilvl w:val="2"/>
                <w:numId w:val="7"/>
              </w:numPr>
              <w:tabs>
                <w:tab w:val="left" w:pos="1418"/>
              </w:tabs>
              <w:spacing w:before="108" w:after="108"/>
              <w:ind w:left="1260"/>
              <w:rPr>
                <w:bCs/>
              </w:rPr>
            </w:pPr>
            <w:r>
              <w:rPr>
                <w:bCs/>
              </w:rPr>
              <w:t>The total number of layers is up to four across all panels and total number of codewords is up to two across all panels, considering single DCI and multi-DCI based multi-TRP operation.</w:t>
            </w:r>
          </w:p>
          <w:p>
            <w:pPr>
              <w:numPr>
                <w:ilvl w:val="1"/>
                <w:numId w:val="8"/>
              </w:numPr>
              <w:spacing w:before="108" w:after="108"/>
              <w:ind w:left="840"/>
              <w:rPr>
                <w:bCs/>
              </w:rPr>
            </w:pPr>
            <w:r>
              <w:rPr>
                <w:bCs/>
              </w:rPr>
              <w:t>UL beam indication for PUCCH/PUSCH, where unified TCI framework extension in objective 2 is assumed, considering single DCI and multi-DCI based multi-TRP operation</w:t>
            </w:r>
          </w:p>
          <w:p>
            <w:pPr>
              <w:numPr>
                <w:ilvl w:val="2"/>
                <w:numId w:val="9"/>
              </w:numPr>
              <w:spacing w:before="108" w:after="108"/>
              <w:ind w:left="1260"/>
            </w:pPr>
            <w:r>
              <w:rPr>
                <w:bCs/>
              </w:rPr>
              <w:t>For the case of multi-DCI based multi-TRP operation, only PUSCH+PUSCH, or PUCCH+PUCCH is transmitted across two panels in a same CC.</w:t>
            </w:r>
          </w:p>
        </w:tc>
      </w:tr>
    </w:tbl>
    <w:p>
      <w:pPr>
        <w:spacing w:before="108" w:after="108"/>
      </w:pPr>
      <w:r>
        <w:rPr>
          <w:rFonts w:hint="eastAsia"/>
        </w:rPr>
        <w:t>In this contribution, we present our views on UL precoding indication for multi-panel transmission</w:t>
      </w:r>
      <w:r>
        <w:rPr>
          <w:rFonts w:hint="eastAsia" w:eastAsia="宋体"/>
        </w:rPr>
        <w:t xml:space="preserve"> in Rel-18</w:t>
      </w:r>
      <w:r>
        <w:rPr>
          <w:rFonts w:hint="eastAsia"/>
        </w:rPr>
        <w:t>.</w:t>
      </w:r>
    </w:p>
    <w:p>
      <w:pPr>
        <w:pStyle w:val="2"/>
        <w:keepNext/>
        <w:tabs>
          <w:tab w:val="left" w:pos="3686"/>
          <w:tab w:val="left" w:pos="4536"/>
        </w:tabs>
        <w:spacing w:before="360" w:beforeLines="100" w:after="180" w:line="240" w:lineRule="auto"/>
        <w:textAlignment w:val="baseline"/>
        <w:rPr>
          <w:lang w:val="en-US"/>
        </w:rPr>
      </w:pPr>
      <w:r>
        <w:rPr>
          <w:rFonts w:hint="eastAsia"/>
          <w:lang w:val="en-US"/>
        </w:rPr>
        <w:t>Single DCI based STxMP PUSCH transmission</w:t>
      </w:r>
    </w:p>
    <w:p>
      <w:pPr>
        <w:pStyle w:val="3"/>
        <w:spacing w:before="180" w:after="180"/>
        <w:rPr>
          <w:lang w:val="en-US"/>
        </w:rPr>
      </w:pPr>
      <w:r>
        <w:rPr>
          <w:rFonts w:hint="eastAsia"/>
          <w:lang w:val="en-US"/>
        </w:rPr>
        <w:t>Transmission scheme</w:t>
      </w:r>
    </w:p>
    <w:p>
      <w:pPr>
        <w:spacing w:before="108" w:after="108"/>
        <w:rPr>
          <w:rFonts w:eastAsia="宋体"/>
        </w:rPr>
      </w:pPr>
      <w:r>
        <w:rPr>
          <w:rFonts w:hint="eastAsia"/>
        </w:rPr>
        <w:t>For single DCI based STxMP PUSCH</w:t>
      </w:r>
      <w:r>
        <w:rPr>
          <w:rFonts w:hint="eastAsia" w:eastAsia="宋体"/>
        </w:rPr>
        <w:t xml:space="preserve"> transmission</w:t>
      </w:r>
      <w:r>
        <w:rPr>
          <w:rFonts w:hint="eastAsia"/>
        </w:rPr>
        <w:t>, one agreement was endorsed to further discuss the candidate transmission schemes</w:t>
      </w:r>
      <w:r>
        <w:rPr>
          <w:rFonts w:hint="eastAsia" w:eastAsia="宋体"/>
        </w:rPr>
        <w:t xml:space="preserve"> in RAN1#109-e meeting </w:t>
      </w:r>
      <w:r>
        <w:rPr>
          <w:rFonts w:hint="eastAsia"/>
        </w:rPr>
        <w:t>[2].</w:t>
      </w:r>
      <w:r>
        <w:rPr>
          <w:rFonts w:hint="eastAsia" w:eastAsia="宋体"/>
        </w:rPr>
        <w:t xml:space="preserve"> Further, one working assumption was reached in RAN1#110 meeting to enable SDM </w:t>
      </w:r>
      <w:r>
        <w:rPr>
          <w:rFonts w:cs="Times"/>
          <w:szCs w:val="20"/>
        </w:rPr>
        <w:t>scheme for STxMP PUSCH transmission in Rel-18</w:t>
      </w:r>
      <w:r>
        <w:rPr>
          <w:rFonts w:hint="eastAsia" w:eastAsia="宋体" w:cs="Times"/>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108" w:after="108"/>
              <w:rPr>
                <w:rFonts w:eastAsia="宋体" w:cs="Times"/>
                <w:b/>
                <w:bCs/>
                <w:szCs w:val="20"/>
                <w:u w:val="single"/>
              </w:rPr>
            </w:pPr>
            <w:r>
              <w:rPr>
                <w:rFonts w:cs="Times"/>
                <w:b/>
                <w:bCs/>
                <w:szCs w:val="20"/>
                <w:u w:val="single"/>
              </w:rPr>
              <w:t>Agreement</w:t>
            </w:r>
          </w:p>
          <w:p>
            <w:pPr>
              <w:spacing w:before="108" w:after="108"/>
              <w:rPr>
                <w:rFonts w:eastAsia="Malgun Gothic" w:cs="Times"/>
                <w:szCs w:val="20"/>
                <w:lang w:eastAsia="ko-KR"/>
              </w:rPr>
            </w:pPr>
            <w:r>
              <w:rPr>
                <w:rFonts w:cs="Times"/>
                <w:bCs/>
                <w:szCs w:val="20"/>
              </w:rPr>
              <w:t>For STxMP PUSCH in single-DCI based mTRP system, study and evaluate the following schemes for PUSCH:</w:t>
            </w:r>
          </w:p>
          <w:p>
            <w:pPr>
              <w:numPr>
                <w:ilvl w:val="0"/>
                <w:numId w:val="10"/>
              </w:numPr>
              <w:spacing w:before="108" w:after="108"/>
              <w:rPr>
                <w:rFonts w:cs="Times"/>
                <w:szCs w:val="20"/>
              </w:rPr>
            </w:pPr>
            <w:r>
              <w:rPr>
                <w:rFonts w:cs="Times"/>
                <w:bCs/>
                <w:szCs w:val="20"/>
              </w:rPr>
              <w:t>SDM scheme: different layers/DMRS ports of one PUSCH are separately precoded and transmitted from different UE panels simultaneously.</w:t>
            </w:r>
            <w:r>
              <w:rPr>
                <w:rFonts w:cs="Times"/>
                <w:szCs w:val="20"/>
              </w:rPr>
              <w:t xml:space="preserve"> </w:t>
            </w:r>
          </w:p>
          <w:p>
            <w:pPr>
              <w:numPr>
                <w:ilvl w:val="1"/>
                <w:numId w:val="10"/>
              </w:numPr>
              <w:spacing w:before="108" w:after="108"/>
              <w:rPr>
                <w:rFonts w:cs="Times"/>
                <w:szCs w:val="20"/>
              </w:rPr>
            </w:pPr>
            <w:r>
              <w:rPr>
                <w:rFonts w:cs="Times"/>
                <w:bCs/>
                <w:szCs w:val="20"/>
              </w:rPr>
              <w:t>Study and evaluate whether to support 2 CWs in SDM manner and transmitted from two different panel simultaneously.</w:t>
            </w:r>
          </w:p>
          <w:p>
            <w:pPr>
              <w:numPr>
                <w:ilvl w:val="0"/>
                <w:numId w:val="10"/>
              </w:numPr>
              <w:spacing w:before="108" w:after="108"/>
              <w:rPr>
                <w:rFonts w:cs="Times"/>
                <w:szCs w:val="20"/>
              </w:rPr>
            </w:pPr>
            <w:r>
              <w:rPr>
                <w:rFonts w:cs="Times"/>
                <w:bCs/>
                <w:szCs w:val="20"/>
              </w:rPr>
              <w:t>FDM-B scheme: two PUSCH transmission occasions with same/different RV of the same TB are transmitted from different UE panels on non-overlapped frequency domain resources and the same time domain resources.</w:t>
            </w:r>
          </w:p>
          <w:p>
            <w:pPr>
              <w:numPr>
                <w:ilvl w:val="0"/>
                <w:numId w:val="10"/>
              </w:numPr>
              <w:spacing w:before="108" w:after="108"/>
              <w:rPr>
                <w:rFonts w:cs="Times"/>
                <w:szCs w:val="20"/>
              </w:rPr>
            </w:pPr>
            <w:r>
              <w:rPr>
                <w:rFonts w:cs="Times"/>
                <w:bCs/>
                <w:szCs w:val="20"/>
              </w:rPr>
              <w:t>FDM-A scheme: different parts of the frequency domain resource of one PUSCH transmission occasion are transmitted from different UE panels.</w:t>
            </w:r>
          </w:p>
          <w:p>
            <w:pPr>
              <w:numPr>
                <w:ilvl w:val="0"/>
                <w:numId w:val="10"/>
              </w:numPr>
              <w:spacing w:before="108" w:after="108"/>
              <w:rPr>
                <w:rFonts w:cs="Times"/>
                <w:szCs w:val="20"/>
              </w:rPr>
            </w:pPr>
            <w:r>
              <w:rPr>
                <w:rFonts w:cs="Times"/>
                <w:bCs/>
                <w:szCs w:val="20"/>
              </w:rPr>
              <w:t>SFN-based transmission scheme: all of the same layers/DMRS ports of one PUSCH are transmitted from two different UE panels simultaneously.</w:t>
            </w:r>
          </w:p>
          <w:p>
            <w:pPr>
              <w:numPr>
                <w:ilvl w:val="0"/>
                <w:numId w:val="10"/>
              </w:numPr>
              <w:spacing w:before="108" w:after="108"/>
              <w:rPr>
                <w:rFonts w:cs="Times"/>
                <w:szCs w:val="20"/>
              </w:rPr>
            </w:pPr>
            <w:r>
              <w:rPr>
                <w:rFonts w:cs="Times"/>
                <w:bCs/>
                <w:szCs w:val="20"/>
              </w:rPr>
              <w:t>SDM repetition scheme: two PUSCH transmission occasions with different RV of the same TB are transmitted from two different UE panels simultaneously.</w:t>
            </w:r>
          </w:p>
          <w:p>
            <w:pPr>
              <w:spacing w:before="108" w:after="108"/>
              <w:rPr>
                <w:rFonts w:eastAsia="Malgun Gothic" w:cs="Times"/>
                <w:szCs w:val="20"/>
              </w:rPr>
            </w:pPr>
            <w:r>
              <w:rPr>
                <w:rFonts w:cs="Times"/>
                <w:bCs/>
                <w:szCs w:val="20"/>
              </w:rPr>
              <w:t>Note: Companies are encouraged to evaluate the different schemes for possible down-selection in RAN1#110.</w:t>
            </w:r>
          </w:p>
          <w:p>
            <w:pPr>
              <w:spacing w:before="108" w:after="108"/>
              <w:rPr>
                <w:rFonts w:cs="Times"/>
                <w:bCs/>
                <w:szCs w:val="20"/>
              </w:rPr>
            </w:pPr>
            <w:r>
              <w:rPr>
                <w:rFonts w:cs="Times"/>
                <w:bCs/>
                <w:szCs w:val="20"/>
              </w:rPr>
              <w:t>Note: other schemes are not precluded</w:t>
            </w:r>
          </w:p>
          <w:p>
            <w:pPr>
              <w:spacing w:before="108" w:after="108"/>
              <w:rPr>
                <w:rFonts w:cs="Times"/>
                <w:bCs/>
                <w:szCs w:val="20"/>
              </w:rPr>
            </w:pPr>
          </w:p>
          <w:p>
            <w:pPr>
              <w:spacing w:before="108" w:after="108"/>
              <w:rPr>
                <w:rFonts w:cs="Times"/>
                <w:szCs w:val="20"/>
                <w:u w:val="single"/>
              </w:rPr>
            </w:pPr>
            <w:r>
              <w:rPr>
                <w:rFonts w:cs="Times"/>
                <w:b/>
                <w:bCs/>
                <w:szCs w:val="20"/>
                <w:u w:val="single"/>
              </w:rPr>
              <w:t>Working assumption</w:t>
            </w:r>
          </w:p>
          <w:p>
            <w:pPr>
              <w:spacing w:before="108" w:after="108"/>
              <w:rPr>
                <w:rFonts w:cs="Times"/>
                <w:szCs w:val="20"/>
              </w:rPr>
            </w:pPr>
            <w:r>
              <w:rPr>
                <w:rFonts w:cs="Times"/>
                <w:szCs w:val="20"/>
              </w:rPr>
              <w:t>Support the following scheme for STxMP PUSCH transmission in single-DCI based mTRP system in Rel-18:</w:t>
            </w:r>
          </w:p>
          <w:p>
            <w:pPr>
              <w:pStyle w:val="50"/>
              <w:numPr>
                <w:ilvl w:val="0"/>
                <w:numId w:val="11"/>
              </w:numPr>
              <w:spacing w:before="108" w:after="108"/>
              <w:ind w:leftChars="0"/>
              <w:contextualSpacing/>
              <w:rPr>
                <w:rFonts w:cs="Times"/>
                <w:szCs w:val="20"/>
              </w:rPr>
            </w:pPr>
            <w:r>
              <w:rPr>
                <w:rFonts w:cs="Times"/>
                <w:szCs w:val="20"/>
              </w:rPr>
              <w:t>SDM scheme</w:t>
            </w:r>
          </w:p>
          <w:p>
            <w:pPr>
              <w:pStyle w:val="50"/>
              <w:numPr>
                <w:ilvl w:val="0"/>
                <w:numId w:val="11"/>
              </w:numPr>
              <w:spacing w:before="108" w:after="108"/>
              <w:ind w:leftChars="0"/>
              <w:contextualSpacing/>
              <w:rPr>
                <w:rFonts w:cs="Times"/>
                <w:bCs/>
                <w:szCs w:val="20"/>
              </w:rPr>
            </w:pPr>
            <w:r>
              <w:rPr>
                <w:rFonts w:cs="Times"/>
                <w:szCs w:val="20"/>
              </w:rPr>
              <w:t>In RAN1#110bis-e, RAN1 will only consider SFN based transmission scheme to support in addition to the above. Decision to support or not to be made in RAN1#110bis-e.</w:t>
            </w:r>
          </w:p>
        </w:tc>
      </w:tr>
    </w:tbl>
    <w:p>
      <w:pPr>
        <w:spacing w:before="288" w:beforeLines="80" w:after="108"/>
        <w:rPr>
          <w:rFonts w:eastAsia="宋体"/>
        </w:rPr>
      </w:pPr>
      <w:r>
        <w:rPr>
          <w:rFonts w:hint="eastAsia" w:eastAsia="宋体"/>
        </w:rPr>
        <w:t>For SDM scheme, different layer(s) of the PUSCH are transmitted from two panels and towards to two TRPs, the propagation conditions between two TRP-panel links could be quite different, hence individual MCS for each link is needed for this scheme. In other words, the key to guarantee performance gain of SDM scheme based STxMP PUSCH transmission is to support 2 CWs with individual M</w:t>
      </w:r>
      <w:r>
        <w:rPr>
          <w:rFonts w:hint="eastAsia" w:eastAsia="宋体"/>
          <w:lang w:val="en-US" w:eastAsia="zh-CN"/>
        </w:rPr>
        <w:t>CS</w:t>
      </w:r>
      <w:r>
        <w:rPr>
          <w:rFonts w:hint="eastAsia" w:eastAsia="宋体"/>
        </w:rPr>
        <w:t xml:space="preserve"> for different TRP-panel links.</w:t>
      </w:r>
    </w:p>
    <w:p>
      <w:pPr>
        <w:spacing w:before="108" w:after="108"/>
        <w:rPr>
          <w:rFonts w:eastAsia="宋体"/>
        </w:rPr>
      </w:pPr>
      <w:r>
        <w:rPr>
          <w:rFonts w:hint="eastAsia" w:eastAsia="宋体"/>
        </w:rPr>
        <w:t>Consequently, s</w:t>
      </w:r>
      <w:r>
        <w:rPr>
          <w:rFonts w:hint="eastAsia"/>
        </w:rPr>
        <w:t>ystem</w:t>
      </w:r>
      <w:r>
        <w:rPr>
          <w:rFonts w:hint="eastAsia" w:eastAsia="宋体"/>
        </w:rPr>
        <w:t xml:space="preserve"> </w:t>
      </w:r>
      <w:r>
        <w:rPr>
          <w:rFonts w:hint="eastAsia"/>
        </w:rPr>
        <w:t xml:space="preserve">level simulation </w:t>
      </w:r>
      <w:r>
        <w:rPr>
          <w:rFonts w:hint="eastAsia" w:eastAsia="宋体"/>
        </w:rPr>
        <w:t xml:space="preserve">is used to </w:t>
      </w:r>
      <w:r>
        <w:rPr>
          <w:rFonts w:hint="eastAsia"/>
        </w:rPr>
        <w:t>evaluate</w:t>
      </w:r>
      <w:r>
        <w:rPr>
          <w:rFonts w:hint="eastAsia" w:eastAsia="宋体"/>
        </w:rPr>
        <w:t xml:space="preserve"> </w:t>
      </w:r>
      <w:r>
        <w:rPr>
          <w:rFonts w:hint="eastAsia"/>
        </w:rPr>
        <w:t xml:space="preserve">the </w:t>
      </w:r>
      <w:r>
        <w:rPr>
          <w:rFonts w:hint="eastAsia" w:eastAsia="宋体"/>
        </w:rPr>
        <w:t xml:space="preserve">UPT </w:t>
      </w:r>
      <w:r>
        <w:rPr>
          <w:rFonts w:hint="eastAsia"/>
        </w:rPr>
        <w:t xml:space="preserve">performance of 1 CW and 2 CWs </w:t>
      </w:r>
      <w:r>
        <w:rPr>
          <w:rFonts w:hint="eastAsia" w:eastAsia="宋体"/>
        </w:rPr>
        <w:t>for SDM scheme based STxMP PUSCH transmission. The details of the simulation modeling are listed below:</w:t>
      </w:r>
    </w:p>
    <w:p>
      <w:pPr>
        <w:numPr>
          <w:ilvl w:val="0"/>
          <w:numId w:val="12"/>
        </w:numPr>
        <w:spacing w:before="108" w:after="108"/>
        <w:rPr>
          <w:rFonts w:eastAsia="宋体"/>
        </w:rPr>
      </w:pPr>
      <w:r>
        <w:rPr>
          <w:rFonts w:hint="eastAsia" w:eastAsia="宋体"/>
        </w:rPr>
        <w:t>100% indoor hotspot in TR 38.901.</w:t>
      </w:r>
    </w:p>
    <w:p>
      <w:pPr>
        <w:numPr>
          <w:ilvl w:val="0"/>
          <w:numId w:val="12"/>
        </w:numPr>
        <w:spacing w:before="108" w:after="108"/>
        <w:rPr>
          <w:rFonts w:eastAsia="宋体"/>
        </w:rPr>
      </w:pPr>
      <w:r>
        <w:rPr>
          <w:rFonts w:hint="eastAsia" w:eastAsia="宋体"/>
        </w:rPr>
        <w:t xml:space="preserve">Baseline scheme is set to single panel PUSCH transmission with panel selection </w:t>
      </w:r>
      <w:r>
        <w:rPr>
          <w:rFonts w:hint="eastAsia"/>
        </w:rPr>
        <w:t>(</w:t>
      </w:r>
      <w:r>
        <w:rPr>
          <w:rFonts w:hint="eastAsia" w:eastAsia="宋体"/>
        </w:rPr>
        <w:t>o</w:t>
      </w:r>
      <w:r>
        <w:rPr>
          <w:rFonts w:hint="eastAsia"/>
        </w:rPr>
        <w:t>ption 1</w:t>
      </w:r>
      <w:r>
        <w:rPr>
          <w:rFonts w:hint="eastAsia" w:eastAsia="宋体"/>
        </w:rPr>
        <w:t xml:space="preserve"> in EVM assumption</w:t>
      </w:r>
      <w:r>
        <w:rPr>
          <w:rFonts w:hint="eastAsia"/>
        </w:rPr>
        <w:t>)</w:t>
      </w:r>
      <w:r>
        <w:rPr>
          <w:rFonts w:hint="eastAsia" w:eastAsia="宋体"/>
        </w:rPr>
        <w:t>.</w:t>
      </w:r>
    </w:p>
    <w:p>
      <w:pPr>
        <w:numPr>
          <w:ilvl w:val="0"/>
          <w:numId w:val="12"/>
        </w:numPr>
        <w:spacing w:before="108" w:after="108"/>
        <w:rPr>
          <w:rFonts w:eastAsia="宋体"/>
        </w:rPr>
      </w:pPr>
      <w:r>
        <w:rPr>
          <w:rFonts w:hint="eastAsia" w:eastAsia="宋体"/>
        </w:rPr>
        <w:t>For MCS determination, the single MCS in case of 1 CW SDM scheme is determined by the lower MCS among two panels to guarantee the demodulation performance of the worse panel, and two MCS in case of 2 CWs SDM scheme are determined individually for two panels.</w:t>
      </w:r>
    </w:p>
    <w:p>
      <w:pPr>
        <w:numPr>
          <w:ilvl w:val="0"/>
          <w:numId w:val="12"/>
        </w:numPr>
        <w:spacing w:before="108" w:after="108"/>
        <w:rPr>
          <w:rFonts w:eastAsia="宋体"/>
        </w:rPr>
      </w:pPr>
      <w:r>
        <w:rPr>
          <w:rFonts w:hint="eastAsia" w:eastAsia="宋体"/>
        </w:rPr>
        <w:t>The range of MCS level candidates is from 1 to 15.</w:t>
      </w:r>
    </w:p>
    <w:p>
      <w:pPr>
        <w:numPr>
          <w:ilvl w:val="0"/>
          <w:numId w:val="12"/>
        </w:numPr>
        <w:spacing w:before="108" w:after="108"/>
        <w:rPr>
          <w:rFonts w:eastAsia="宋体"/>
        </w:rPr>
      </w:pPr>
      <w:r>
        <w:rPr>
          <w:rFonts w:hint="eastAsia" w:eastAsia="宋体"/>
        </w:rPr>
        <w:t>T</w:t>
      </w:r>
      <w:r>
        <w:rPr>
          <w:rFonts w:hint="eastAsia"/>
        </w:rPr>
        <w:t>he max</w:t>
      </w:r>
      <w:r>
        <w:rPr>
          <w:rFonts w:hint="eastAsia" w:eastAsia="宋体"/>
        </w:rPr>
        <w:t>imum</w:t>
      </w:r>
      <w:r>
        <w:rPr>
          <w:rFonts w:hint="eastAsia"/>
        </w:rPr>
        <w:t xml:space="preserve"> UE Tx power is set to max TRP of 23 dBm and max EIRP 43 dBm of two panels (</w:t>
      </w:r>
      <w:r>
        <w:rPr>
          <w:rFonts w:hint="eastAsia" w:eastAsia="宋体"/>
        </w:rPr>
        <w:t>o</w:t>
      </w:r>
      <w:r>
        <w:rPr>
          <w:rFonts w:hint="eastAsia"/>
        </w:rPr>
        <w:t>ption 1 in EVM assumption)</w:t>
      </w:r>
      <w:r>
        <w:rPr>
          <w:rFonts w:hint="eastAsia" w:eastAsia="宋体"/>
        </w:rPr>
        <w:t>.</w:t>
      </w:r>
    </w:p>
    <w:p>
      <w:pPr>
        <w:numPr>
          <w:ilvl w:val="0"/>
          <w:numId w:val="12"/>
        </w:numPr>
        <w:spacing w:before="108" w:after="108"/>
        <w:rPr>
          <w:rFonts w:eastAsia="宋体"/>
        </w:rPr>
      </w:pPr>
      <w:r>
        <w:rPr>
          <w:rFonts w:hint="eastAsia" w:eastAsia="宋体"/>
        </w:rPr>
        <w:t>TRP/panel-specific power control is enabled.</w:t>
      </w:r>
    </w:p>
    <w:p>
      <w:pPr>
        <w:numPr>
          <w:ilvl w:val="0"/>
          <w:numId w:val="12"/>
        </w:numPr>
        <w:spacing w:before="108" w:after="108"/>
        <w:rPr>
          <w:rFonts w:eastAsia="宋体"/>
        </w:rPr>
      </w:pPr>
      <w:r>
        <w:rPr>
          <w:rFonts w:hint="eastAsia" w:eastAsia="宋体"/>
        </w:rPr>
        <w:t>The maximum number of transmission layers per panel is set to 2.</w:t>
      </w:r>
    </w:p>
    <w:p>
      <w:pPr>
        <w:numPr>
          <w:ilvl w:val="0"/>
          <w:numId w:val="12"/>
        </w:numPr>
        <w:spacing w:before="108" w:after="288" w:afterLines="80"/>
        <w:rPr>
          <w:rFonts w:eastAsia="宋体"/>
        </w:rPr>
      </w:pPr>
      <w:r>
        <w:rPr>
          <w:rFonts w:hint="eastAsia"/>
        </w:rPr>
        <w:t>Other parameter</w:t>
      </w:r>
      <w:r>
        <w:rPr>
          <w:rFonts w:hint="eastAsia" w:eastAsia="宋体"/>
        </w:rPr>
        <w:t xml:space="preserve"> setting</w:t>
      </w:r>
      <w:r>
        <w:rPr>
          <w:rFonts w:hint="eastAsia"/>
        </w:rPr>
        <w:t xml:space="preserve">s can be found in Table </w:t>
      </w:r>
      <w:r>
        <w:rPr>
          <w:rFonts w:hint="eastAsia" w:eastAsia="宋体"/>
        </w:rPr>
        <w:t>A</w:t>
      </w:r>
      <w:r>
        <w:rPr>
          <w:rFonts w:hint="eastAsia"/>
        </w:rPr>
        <w:t xml:space="preserve"> in Appendix</w:t>
      </w:r>
      <w:r>
        <w:rPr>
          <w:rFonts w:hint="eastAsia" w:eastAsia="宋体"/>
        </w:rPr>
        <w:t xml:space="preserve">, </w:t>
      </w:r>
      <w:r>
        <w:rPr>
          <w:rFonts w:hint="eastAsia"/>
        </w:rPr>
        <w:t>which is abide by the EVM assumption that agreed in RAN1#109-e meeting</w:t>
      </w:r>
      <w:r>
        <w:rPr>
          <w:rFonts w:hint="eastAsia" w:eastAsia="宋体"/>
        </w:rPr>
        <w:t xml:space="preserve"> [2]</w:t>
      </w:r>
      <w:r>
        <w:rPr>
          <w:rFonts w:hint="eastAsia"/>
        </w:rPr>
        <w:t>.</w:t>
      </w:r>
    </w:p>
    <w:p>
      <w:pPr>
        <w:spacing w:before="108" w:after="108"/>
        <w:rPr>
          <w:rFonts w:eastAsia="宋体"/>
        </w:rPr>
      </w:pPr>
      <w:r>
        <w:rPr>
          <w:rFonts w:hint="eastAsia" w:eastAsia="宋体"/>
        </w:rPr>
        <w:t>The simulation results are provided in T</w:t>
      </w:r>
      <w:r>
        <w:rPr>
          <w:rFonts w:hint="eastAsia"/>
        </w:rPr>
        <w:t>able 1</w:t>
      </w:r>
      <w:r>
        <w:rPr>
          <w:rFonts w:hint="eastAsia" w:eastAsia="宋体"/>
        </w:rPr>
        <w:t>, and it can be observed:</w:t>
      </w:r>
    </w:p>
    <w:p>
      <w:pPr>
        <w:numPr>
          <w:ilvl w:val="0"/>
          <w:numId w:val="12"/>
        </w:numPr>
        <w:spacing w:before="108" w:after="108"/>
        <w:rPr>
          <w:rFonts w:eastAsia="宋体"/>
        </w:rPr>
      </w:pPr>
      <w:r>
        <w:rPr>
          <w:rFonts w:hint="eastAsia" w:eastAsia="宋体"/>
        </w:rPr>
        <w:t>Broadly, b</w:t>
      </w:r>
      <w:r>
        <w:rPr>
          <w:rFonts w:hint="eastAsia"/>
        </w:rPr>
        <w:t>oth 1 CW</w:t>
      </w:r>
      <w:r>
        <w:rPr>
          <w:rFonts w:hint="eastAsia" w:eastAsia="宋体"/>
        </w:rPr>
        <w:t xml:space="preserve"> SDM</w:t>
      </w:r>
      <w:r>
        <w:rPr>
          <w:rFonts w:hint="eastAsia"/>
        </w:rPr>
        <w:t xml:space="preserve"> and 2 CW</w:t>
      </w:r>
      <w:r>
        <w:rPr>
          <w:rFonts w:hint="eastAsia" w:eastAsia="宋体"/>
        </w:rPr>
        <w:t>s</w:t>
      </w:r>
      <w:r>
        <w:rPr>
          <w:rFonts w:hint="eastAsia"/>
        </w:rPr>
        <w:t xml:space="preserve"> </w:t>
      </w:r>
      <w:r>
        <w:rPr>
          <w:rFonts w:hint="eastAsia" w:eastAsia="宋体"/>
        </w:rPr>
        <w:t xml:space="preserve">SDM </w:t>
      </w:r>
      <w:r>
        <w:rPr>
          <w:rFonts w:hint="eastAsia"/>
        </w:rPr>
        <w:t>c</w:t>
      </w:r>
      <w:r>
        <w:rPr>
          <w:rFonts w:hint="eastAsia" w:eastAsia="宋体"/>
        </w:rPr>
        <w:t>ould</w:t>
      </w:r>
      <w:r>
        <w:rPr>
          <w:rFonts w:hint="eastAsia"/>
        </w:rPr>
        <w:t xml:space="preserve"> provide higher throughput than </w:t>
      </w:r>
      <w:r>
        <w:rPr>
          <w:rFonts w:hint="eastAsia" w:eastAsia="宋体"/>
        </w:rPr>
        <w:t>panel selection</w:t>
      </w:r>
      <w:r>
        <w:rPr>
          <w:rFonts w:hint="eastAsia"/>
        </w:rPr>
        <w:t xml:space="preserve"> </w:t>
      </w:r>
      <w:r>
        <w:rPr>
          <w:rFonts w:hint="eastAsia" w:eastAsia="宋体"/>
        </w:rPr>
        <w:t xml:space="preserve">scheme </w:t>
      </w:r>
      <w:r>
        <w:rPr>
          <w:rFonts w:hint="eastAsia"/>
        </w:rPr>
        <w:t>(</w:t>
      </w:r>
      <w:r>
        <w:rPr>
          <w:rFonts w:hint="eastAsia" w:eastAsia="宋体"/>
        </w:rPr>
        <w:t xml:space="preserve">as the items </w:t>
      </w:r>
      <w:r>
        <w:rPr>
          <w:rFonts w:hint="eastAsia"/>
        </w:rPr>
        <w:t>highlight</w:t>
      </w:r>
      <w:r>
        <w:rPr>
          <w:rFonts w:hint="eastAsia" w:eastAsia="宋体"/>
        </w:rPr>
        <w:t>ed</w:t>
      </w:r>
      <w:r>
        <w:rPr>
          <w:rFonts w:hint="eastAsia"/>
        </w:rPr>
        <w:t xml:space="preserve"> in </w:t>
      </w:r>
      <w:r>
        <w:rPr>
          <w:rFonts w:hint="eastAsia" w:eastAsia="宋体"/>
        </w:rPr>
        <w:t>green</w:t>
      </w:r>
      <w:r>
        <w:rPr>
          <w:rFonts w:hint="eastAsia"/>
        </w:rPr>
        <w:t xml:space="preserve">), especially for 95%-ile UE which obtain </w:t>
      </w:r>
      <w:r>
        <w:rPr>
          <w:rFonts w:hint="eastAsia" w:eastAsia="宋体"/>
        </w:rPr>
        <w:t xml:space="preserve">&gt;70% </w:t>
      </w:r>
      <w:r>
        <w:rPr>
          <w:rFonts w:hint="eastAsia"/>
        </w:rPr>
        <w:t xml:space="preserve">UPT gain when </w:t>
      </w:r>
      <w:r>
        <w:rPr>
          <w:rFonts w:hint="eastAsia" w:eastAsia="宋体"/>
        </w:rPr>
        <w:t xml:space="preserve">low-load scenario, i.e., </w:t>
      </w:r>
      <w:r>
        <w:rPr>
          <w:rFonts w:hint="eastAsia"/>
        </w:rPr>
        <w:t>RU ~</w:t>
      </w:r>
      <w:r>
        <w:rPr>
          <w:rFonts w:hint="eastAsia" w:eastAsia="宋体"/>
        </w:rPr>
        <w:t>1</w:t>
      </w:r>
      <w:r>
        <w:rPr>
          <w:rFonts w:hint="eastAsia"/>
        </w:rPr>
        <w:t>5%.</w:t>
      </w:r>
    </w:p>
    <w:p>
      <w:pPr>
        <w:numPr>
          <w:ilvl w:val="0"/>
          <w:numId w:val="12"/>
        </w:numPr>
        <w:spacing w:before="108" w:after="108"/>
        <w:rPr>
          <w:rFonts w:eastAsia="宋体"/>
        </w:rPr>
      </w:pPr>
      <w:r>
        <w:rPr>
          <w:rFonts w:hint="eastAsia" w:eastAsia="宋体"/>
        </w:rPr>
        <w:t>In both low-load and medium-load scenarios, 2 CWs SDM</w:t>
      </w:r>
      <w:r>
        <w:rPr>
          <w:rFonts w:hint="eastAsia"/>
        </w:rPr>
        <w:t xml:space="preserve"> </w:t>
      </w:r>
      <w:r>
        <w:rPr>
          <w:rFonts w:hint="eastAsia" w:eastAsia="宋体"/>
        </w:rPr>
        <w:t>could always obtain perform gain. In contrast, 1 CW SDM will cause performance loss in some cases, i.e. 5%-ile UEs and 50%-ile UEs.</w:t>
      </w:r>
    </w:p>
    <w:p>
      <w:pPr>
        <w:numPr>
          <w:ilvl w:val="0"/>
          <w:numId w:val="12"/>
        </w:numPr>
        <w:spacing w:before="108" w:after="108"/>
        <w:rPr>
          <w:rFonts w:eastAsia="宋体"/>
        </w:rPr>
      </w:pPr>
      <w:r>
        <w:rPr>
          <w:rFonts w:hint="eastAsia" w:eastAsia="宋体"/>
        </w:rPr>
        <w:t>Even in high-load scenario (i.e., RU ~80%), 2 CWs SDM could outperform over single-panel transmission, but 1 CW SDM cannot obtain performance gain anymore.</w:t>
      </w:r>
    </w:p>
    <w:p>
      <w:pPr>
        <w:numPr>
          <w:ilvl w:val="0"/>
          <w:numId w:val="12"/>
        </w:numPr>
        <w:spacing w:before="108" w:after="108"/>
        <w:rPr>
          <w:rFonts w:eastAsia="宋体"/>
        </w:rPr>
      </w:pPr>
      <w:r>
        <w:rPr>
          <w:rFonts w:hint="eastAsia" w:eastAsia="宋体"/>
        </w:rPr>
        <w:t>With the increase of RU, the performance gain of 1 CW SDM</w:t>
      </w:r>
      <w:r>
        <w:rPr>
          <w:rFonts w:hint="eastAsia"/>
        </w:rPr>
        <w:t xml:space="preserve"> </w:t>
      </w:r>
      <w:r>
        <w:rPr>
          <w:rFonts w:hint="eastAsia" w:eastAsia="宋体"/>
        </w:rPr>
        <w:t>will degrade more severe than 2 CWs SDM, and the gap of performance gain between 1 CW SDM</w:t>
      </w:r>
      <w:r>
        <w:rPr>
          <w:rFonts w:hint="eastAsia"/>
        </w:rPr>
        <w:t xml:space="preserve"> </w:t>
      </w:r>
      <w:r>
        <w:rPr>
          <w:rFonts w:hint="eastAsia" w:eastAsia="宋体"/>
        </w:rPr>
        <w:t>and 2 CWs SDM</w:t>
      </w:r>
      <w:r>
        <w:rPr>
          <w:rFonts w:hint="eastAsia"/>
        </w:rPr>
        <w:t xml:space="preserve"> </w:t>
      </w:r>
      <w:r>
        <w:rPr>
          <w:rFonts w:hint="eastAsia" w:eastAsia="宋体"/>
        </w:rPr>
        <w:t>becomes larger. That is because 2 CWs SDM could better match different channel propagation conditions than 1 CW SDM.</w:t>
      </w:r>
    </w:p>
    <w:p>
      <w:pPr>
        <w:widowControl w:val="0"/>
        <w:tabs>
          <w:tab w:val="left" w:pos="0"/>
        </w:tabs>
        <w:spacing w:before="288" w:beforeLines="80" w:after="108" w:line="240" w:lineRule="auto"/>
        <w:jc w:val="center"/>
        <w:rPr>
          <w:rFonts w:eastAsia="微软雅黑"/>
          <w:szCs w:val="20"/>
        </w:rPr>
      </w:pPr>
      <w:r>
        <w:rPr>
          <w:rFonts w:eastAsia="微软雅黑"/>
          <w:b/>
          <w:bCs/>
          <w:iCs/>
          <w:szCs w:val="20"/>
        </w:rPr>
        <w:t>Table 1</w:t>
      </w:r>
      <w:r>
        <w:rPr>
          <w:rFonts w:eastAsia="微软雅黑"/>
          <w:iCs/>
          <w:szCs w:val="20"/>
        </w:rPr>
        <w:t xml:space="preserve"> </w:t>
      </w:r>
      <w:r>
        <w:rPr>
          <w:rFonts w:hint="eastAsia" w:eastAsia="微软雅黑"/>
          <w:iCs/>
          <w:szCs w:val="20"/>
        </w:rPr>
        <w:t xml:space="preserve"> UPT performance</w:t>
      </w:r>
      <w:r>
        <w:rPr>
          <w:rFonts w:eastAsia="微软雅黑"/>
          <w:iCs/>
          <w:szCs w:val="20"/>
        </w:rPr>
        <w:t xml:space="preserve"> </w:t>
      </w:r>
      <w:r>
        <w:rPr>
          <w:rFonts w:hint="eastAsia" w:eastAsia="微软雅黑"/>
          <w:iCs/>
          <w:szCs w:val="20"/>
        </w:rPr>
        <w:t xml:space="preserve">of </w:t>
      </w:r>
      <w:r>
        <w:rPr>
          <w:rFonts w:eastAsia="微软雅黑"/>
          <w:iCs/>
          <w:szCs w:val="20"/>
        </w:rPr>
        <w:t xml:space="preserve">1 CW </w:t>
      </w:r>
      <w:r>
        <w:rPr>
          <w:rFonts w:hint="eastAsia" w:eastAsia="微软雅黑"/>
          <w:iCs/>
          <w:szCs w:val="20"/>
        </w:rPr>
        <w:t xml:space="preserve">v.s. </w:t>
      </w:r>
      <w:r>
        <w:rPr>
          <w:rFonts w:eastAsia="微软雅黑"/>
          <w:iCs/>
          <w:szCs w:val="20"/>
        </w:rPr>
        <w:t xml:space="preserve">2 CWs in case of </w:t>
      </w:r>
      <w:r>
        <w:rPr>
          <w:rFonts w:hint="eastAsia" w:eastAsia="微软雅黑"/>
          <w:iCs/>
          <w:szCs w:val="20"/>
        </w:rPr>
        <w:t>SDM</w:t>
      </w:r>
      <w:r>
        <w:rPr>
          <w:rFonts w:eastAsia="微软雅黑"/>
          <w:iCs/>
          <w:szCs w:val="20"/>
        </w:rPr>
        <w:t xml:space="preserve"> </w:t>
      </w:r>
      <w:r>
        <w:rPr>
          <w:rFonts w:hint="eastAsia" w:eastAsia="微软雅黑"/>
          <w:iCs/>
          <w:szCs w:val="20"/>
        </w:rPr>
        <w:t xml:space="preserve">scheme </w:t>
      </w:r>
      <w:r>
        <w:rPr>
          <w:rFonts w:eastAsia="微软雅黑"/>
          <w:iCs/>
          <w:szCs w:val="20"/>
        </w:rPr>
        <w:t>based</w:t>
      </w:r>
      <w:r>
        <w:rPr>
          <w:rFonts w:hint="eastAsia" w:eastAsia="微软雅黑"/>
          <w:iCs/>
          <w:szCs w:val="20"/>
        </w:rPr>
        <w:t xml:space="preserve"> STxMP PUSCH transmission</w:t>
      </w:r>
    </w:p>
    <w:tbl>
      <w:tblPr>
        <w:tblStyle w:val="28"/>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1984"/>
        <w:gridCol w:w="1474"/>
        <w:gridCol w:w="1474"/>
        <w:gridCol w:w="1474"/>
        <w:gridCol w:w="1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50" w:type="dxa"/>
            <w:shd w:val="clear" w:color="auto" w:fill="D7D7D7" w:themeFill="background1" w:themeFillShade="D8"/>
          </w:tcPr>
          <w:p>
            <w:pPr>
              <w:spacing w:before="108" w:after="108"/>
              <w:rPr>
                <w:rFonts w:eastAsia="宋体"/>
                <w:b/>
                <w:sz w:val="18"/>
                <w:szCs w:val="18"/>
                <w:lang w:eastAsia="ja-JP"/>
              </w:rPr>
            </w:pPr>
            <w:r>
              <w:rPr>
                <w:rFonts w:eastAsia="宋体"/>
                <w:b/>
                <w:sz w:val="18"/>
                <w:szCs w:val="18"/>
                <w:lang w:eastAsia="ja-JP"/>
              </w:rPr>
              <w:t>RU</w:t>
            </w:r>
          </w:p>
        </w:tc>
        <w:tc>
          <w:tcPr>
            <w:tcW w:w="1984" w:type="dxa"/>
            <w:shd w:val="clear" w:color="auto" w:fill="D7D7D7" w:themeFill="background1" w:themeFillShade="D8"/>
          </w:tcPr>
          <w:p>
            <w:pPr>
              <w:spacing w:before="108" w:after="108"/>
              <w:jc w:val="left"/>
              <w:rPr>
                <w:rFonts w:eastAsia="宋体"/>
                <w:b/>
                <w:sz w:val="18"/>
                <w:szCs w:val="18"/>
              </w:rPr>
            </w:pPr>
            <w:r>
              <w:rPr>
                <w:rFonts w:eastAsia="宋体"/>
                <w:b/>
                <w:sz w:val="18"/>
                <w:szCs w:val="18"/>
              </w:rPr>
              <w:t xml:space="preserve">Transmission </w:t>
            </w:r>
            <w:r>
              <w:rPr>
                <w:rFonts w:hint="eastAsia" w:eastAsia="宋体"/>
                <w:b/>
                <w:sz w:val="18"/>
                <w:szCs w:val="18"/>
              </w:rPr>
              <w:t>S</w:t>
            </w:r>
            <w:r>
              <w:rPr>
                <w:rFonts w:eastAsia="宋体"/>
                <w:b/>
                <w:sz w:val="18"/>
                <w:szCs w:val="18"/>
              </w:rPr>
              <w:t>cheme</w:t>
            </w:r>
          </w:p>
        </w:tc>
        <w:tc>
          <w:tcPr>
            <w:tcW w:w="1474" w:type="dxa"/>
            <w:shd w:val="clear" w:color="auto" w:fill="D7D7D7" w:themeFill="background1" w:themeFillShade="D8"/>
          </w:tcPr>
          <w:p>
            <w:pPr>
              <w:spacing w:before="108" w:after="108"/>
              <w:jc w:val="center"/>
              <w:rPr>
                <w:rFonts w:eastAsia="宋体"/>
                <w:b/>
                <w:sz w:val="18"/>
                <w:szCs w:val="18"/>
              </w:rPr>
            </w:pPr>
            <w:r>
              <w:rPr>
                <w:rFonts w:eastAsia="宋体"/>
                <w:b/>
                <w:sz w:val="18"/>
                <w:szCs w:val="18"/>
                <w:lang w:eastAsia="ja-JP"/>
              </w:rPr>
              <w:t>Mean</w:t>
            </w:r>
            <w:r>
              <w:rPr>
                <w:rFonts w:eastAsia="宋体"/>
                <w:b/>
                <w:sz w:val="18"/>
                <w:szCs w:val="18"/>
              </w:rPr>
              <w:t xml:space="preserve"> UE</w:t>
            </w:r>
          </w:p>
        </w:tc>
        <w:tc>
          <w:tcPr>
            <w:tcW w:w="1474" w:type="dxa"/>
            <w:shd w:val="clear" w:color="auto" w:fill="D7D7D7" w:themeFill="background1" w:themeFillShade="D8"/>
          </w:tcPr>
          <w:p>
            <w:pPr>
              <w:spacing w:before="108" w:after="108"/>
              <w:jc w:val="center"/>
              <w:rPr>
                <w:rFonts w:eastAsia="宋体"/>
                <w:b/>
                <w:sz w:val="18"/>
                <w:szCs w:val="18"/>
              </w:rPr>
            </w:pPr>
            <w:r>
              <w:rPr>
                <w:rFonts w:eastAsia="宋体"/>
                <w:b/>
                <w:sz w:val="18"/>
                <w:szCs w:val="18"/>
                <w:lang w:eastAsia="ja-JP"/>
              </w:rPr>
              <w:t>5%</w:t>
            </w:r>
            <w:r>
              <w:rPr>
                <w:rFonts w:eastAsia="宋体"/>
                <w:b/>
                <w:sz w:val="18"/>
                <w:szCs w:val="18"/>
              </w:rPr>
              <w:t>-</w:t>
            </w:r>
            <w:r>
              <w:rPr>
                <w:rFonts w:eastAsia="宋体"/>
                <w:b/>
                <w:sz w:val="18"/>
                <w:szCs w:val="18"/>
                <w:lang w:eastAsia="ja-JP"/>
              </w:rPr>
              <w:t>ile</w:t>
            </w:r>
            <w:r>
              <w:rPr>
                <w:rFonts w:eastAsia="宋体"/>
                <w:b/>
                <w:sz w:val="18"/>
                <w:szCs w:val="18"/>
              </w:rPr>
              <w:t xml:space="preserve"> UE</w:t>
            </w:r>
          </w:p>
        </w:tc>
        <w:tc>
          <w:tcPr>
            <w:tcW w:w="1474" w:type="dxa"/>
            <w:shd w:val="clear" w:color="auto" w:fill="D7D7D7" w:themeFill="background1" w:themeFillShade="D8"/>
          </w:tcPr>
          <w:p>
            <w:pPr>
              <w:spacing w:before="108" w:after="108"/>
              <w:ind w:left="361" w:hanging="361" w:hangingChars="200"/>
              <w:jc w:val="center"/>
              <w:rPr>
                <w:rFonts w:eastAsia="宋体"/>
                <w:b/>
                <w:sz w:val="18"/>
                <w:szCs w:val="18"/>
              </w:rPr>
            </w:pPr>
            <w:r>
              <w:rPr>
                <w:rFonts w:eastAsia="宋体"/>
                <w:b/>
                <w:sz w:val="18"/>
                <w:szCs w:val="18"/>
                <w:lang w:eastAsia="ja-JP"/>
              </w:rPr>
              <w:t>50%</w:t>
            </w:r>
            <w:r>
              <w:rPr>
                <w:rFonts w:eastAsia="宋体"/>
                <w:b/>
                <w:sz w:val="18"/>
                <w:szCs w:val="18"/>
              </w:rPr>
              <w:t>-</w:t>
            </w:r>
            <w:r>
              <w:rPr>
                <w:rFonts w:eastAsia="宋体"/>
                <w:b/>
                <w:sz w:val="18"/>
                <w:szCs w:val="18"/>
                <w:lang w:eastAsia="ja-JP"/>
              </w:rPr>
              <w:t>ile</w:t>
            </w:r>
            <w:r>
              <w:rPr>
                <w:rFonts w:eastAsia="宋体"/>
                <w:b/>
                <w:sz w:val="18"/>
                <w:szCs w:val="18"/>
              </w:rPr>
              <w:t xml:space="preserve"> UE</w:t>
            </w:r>
          </w:p>
        </w:tc>
        <w:tc>
          <w:tcPr>
            <w:tcW w:w="1474" w:type="dxa"/>
            <w:shd w:val="clear" w:color="auto" w:fill="D7D7D7" w:themeFill="background1" w:themeFillShade="D8"/>
          </w:tcPr>
          <w:p>
            <w:pPr>
              <w:spacing w:before="108" w:after="108"/>
              <w:ind w:left="181" w:hanging="181" w:hangingChars="100"/>
              <w:jc w:val="center"/>
              <w:rPr>
                <w:rFonts w:eastAsia="宋体"/>
                <w:b/>
                <w:sz w:val="18"/>
                <w:szCs w:val="18"/>
              </w:rPr>
            </w:pPr>
            <w:r>
              <w:rPr>
                <w:rFonts w:eastAsia="宋体"/>
                <w:b/>
                <w:sz w:val="18"/>
                <w:szCs w:val="18"/>
                <w:lang w:eastAsia="ja-JP"/>
              </w:rPr>
              <w:t>95%</w:t>
            </w:r>
            <w:r>
              <w:rPr>
                <w:rFonts w:eastAsia="宋体"/>
                <w:b/>
                <w:sz w:val="18"/>
                <w:szCs w:val="18"/>
              </w:rPr>
              <w:t>-</w:t>
            </w:r>
            <w:r>
              <w:rPr>
                <w:rFonts w:eastAsia="宋体"/>
                <w:b/>
                <w:sz w:val="18"/>
                <w:szCs w:val="18"/>
                <w:lang w:eastAsia="ja-JP"/>
              </w:rPr>
              <w:t>ile</w:t>
            </w:r>
            <w:r>
              <w:rPr>
                <w:rFonts w:eastAsia="宋体"/>
                <w:b/>
                <w:sz w:val="18"/>
                <w:szCs w:val="18"/>
              </w:rPr>
              <w:t xml:space="preserv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Merge w:val="restart"/>
            <w:shd w:val="clear" w:color="auto" w:fill="D7D7D7" w:themeFill="background1" w:themeFillShade="D8"/>
          </w:tcPr>
          <w:p>
            <w:pPr>
              <w:pStyle w:val="123"/>
              <w:spacing w:before="108" w:after="108" w:line="252" w:lineRule="auto"/>
              <w:rPr>
                <w:rFonts w:ascii="Times New Roman" w:hAnsi="Times New Roman" w:eastAsia="宋体" w:cs="Times New Roman"/>
                <w:b/>
                <w:bCs/>
                <w:color w:val="000000"/>
                <w:lang w:eastAsia="zh-CN"/>
              </w:rPr>
            </w:pPr>
            <w:r>
              <w:rPr>
                <w:rFonts w:ascii="Times New Roman" w:hAnsi="Times New Roman" w:eastAsia="宋体" w:cs="Times New Roman"/>
                <w:b/>
                <w:bCs/>
                <w:color w:val="000000"/>
                <w:lang w:eastAsia="zh-CN"/>
              </w:rPr>
              <w:t>~</w:t>
            </w:r>
            <w:r>
              <w:rPr>
                <w:rFonts w:hint="eastAsia" w:ascii="Times New Roman" w:hAnsi="Times New Roman" w:eastAsia="宋体" w:cs="Times New Roman"/>
                <w:b/>
                <w:bCs/>
                <w:color w:val="000000"/>
                <w:lang w:eastAsia="zh-CN"/>
              </w:rPr>
              <w:t xml:space="preserve"> 15</w:t>
            </w:r>
            <w:r>
              <w:rPr>
                <w:rFonts w:ascii="Times New Roman" w:hAnsi="Times New Roman" w:eastAsia="宋体" w:cs="Times New Roman"/>
                <w:b/>
                <w:bCs/>
                <w:color w:val="000000"/>
                <w:lang w:eastAsia="zh-CN"/>
              </w:rPr>
              <w:t>%</w:t>
            </w:r>
          </w:p>
        </w:tc>
        <w:tc>
          <w:tcPr>
            <w:tcW w:w="1984" w:type="dxa"/>
            <w:shd w:val="clear" w:color="auto" w:fill="D7D7D7" w:themeFill="background1" w:themeFillShade="D8"/>
          </w:tcPr>
          <w:p>
            <w:pPr>
              <w:pStyle w:val="123"/>
              <w:spacing w:before="108" w:after="108" w:line="252" w:lineRule="auto"/>
              <w:jc w:val="left"/>
              <w:rPr>
                <w:rFonts w:ascii="Times New Roman" w:hAnsi="Times New Roman" w:eastAsia="宋体" w:cs="Times New Roman"/>
                <w:b/>
                <w:bCs/>
                <w:color w:val="000000"/>
                <w:lang w:eastAsia="zh-CN"/>
              </w:rPr>
            </w:pPr>
            <w:r>
              <w:rPr>
                <w:rFonts w:hint="eastAsia" w:ascii="Times New Roman" w:hAnsi="Times New Roman" w:eastAsia="宋体" w:cs="Times New Roman"/>
                <w:b/>
                <w:bCs/>
                <w:color w:val="000000"/>
                <w:lang w:eastAsia="zh-CN"/>
              </w:rPr>
              <w:t>Single panel with panel selection</w:t>
            </w:r>
          </w:p>
        </w:tc>
        <w:tc>
          <w:tcPr>
            <w:tcW w:w="1474" w:type="dxa"/>
            <w:vAlign w:val="center"/>
          </w:tcPr>
          <w:p>
            <w:pPr>
              <w:pStyle w:val="25"/>
              <w:spacing w:before="108" w:after="108"/>
              <w:jc w:val="center"/>
              <w:rPr>
                <w:rFonts w:ascii="Times New Roman" w:hAnsi="Times New Roman" w:cs="Times New Roman"/>
                <w:color w:val="000000"/>
              </w:rPr>
            </w:pPr>
            <w:r>
              <w:rPr>
                <w:rFonts w:ascii="Arial" w:hAnsi="Arial" w:cs="Arial"/>
                <w:color w:val="000000"/>
                <w:sz w:val="16"/>
                <w:szCs w:val="16"/>
              </w:rPr>
              <w:t>430.64</w:t>
            </w:r>
          </w:p>
        </w:tc>
        <w:tc>
          <w:tcPr>
            <w:tcW w:w="1474" w:type="dxa"/>
            <w:vAlign w:val="center"/>
          </w:tcPr>
          <w:p>
            <w:pPr>
              <w:pStyle w:val="25"/>
              <w:spacing w:before="108" w:after="108"/>
              <w:jc w:val="center"/>
              <w:rPr>
                <w:rFonts w:ascii="Times New Roman" w:hAnsi="Times New Roman" w:cs="Times New Roman"/>
                <w:color w:val="000000"/>
              </w:rPr>
            </w:pPr>
            <w:r>
              <w:rPr>
                <w:rFonts w:ascii="Arial" w:hAnsi="Arial" w:cs="Arial"/>
                <w:color w:val="000000"/>
                <w:sz w:val="16"/>
                <w:szCs w:val="16"/>
              </w:rPr>
              <w:t>187.05</w:t>
            </w:r>
          </w:p>
        </w:tc>
        <w:tc>
          <w:tcPr>
            <w:tcW w:w="1474" w:type="dxa"/>
            <w:vAlign w:val="center"/>
          </w:tcPr>
          <w:p>
            <w:pPr>
              <w:pStyle w:val="25"/>
              <w:spacing w:before="108" w:after="108"/>
              <w:jc w:val="center"/>
              <w:rPr>
                <w:rFonts w:ascii="Times New Roman" w:hAnsi="Times New Roman" w:cs="Times New Roman"/>
                <w:color w:val="000000"/>
              </w:rPr>
            </w:pPr>
            <w:r>
              <w:rPr>
                <w:rFonts w:ascii="Arial" w:hAnsi="Arial" w:cs="Arial"/>
                <w:color w:val="000000"/>
                <w:sz w:val="16"/>
                <w:szCs w:val="16"/>
              </w:rPr>
              <w:t>497.44</w:t>
            </w:r>
          </w:p>
        </w:tc>
        <w:tc>
          <w:tcPr>
            <w:tcW w:w="1474" w:type="dxa"/>
            <w:vAlign w:val="center"/>
          </w:tcPr>
          <w:p>
            <w:pPr>
              <w:pStyle w:val="25"/>
              <w:spacing w:before="108" w:after="108"/>
              <w:jc w:val="center"/>
              <w:rPr>
                <w:rFonts w:ascii="Times New Roman" w:hAnsi="Times New Roman" w:cs="Times New Roman"/>
                <w:color w:val="000000"/>
              </w:rPr>
            </w:pPr>
            <w:r>
              <w:rPr>
                <w:rFonts w:ascii="Arial" w:hAnsi="Arial" w:cs="Arial"/>
                <w:color w:val="000000"/>
                <w:sz w:val="16"/>
                <w:szCs w:val="16"/>
              </w:rPr>
              <w:t>524.71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850" w:type="dxa"/>
            <w:vMerge w:val="continue"/>
            <w:shd w:val="clear" w:color="auto" w:fill="D7D7D7" w:themeFill="background1" w:themeFillShade="D8"/>
          </w:tcPr>
          <w:p>
            <w:pPr>
              <w:pStyle w:val="123"/>
              <w:spacing w:before="108" w:after="108" w:line="252" w:lineRule="auto"/>
              <w:rPr>
                <w:rFonts w:ascii="Times New Roman" w:hAnsi="Times New Roman" w:cs="Times New Roman"/>
                <w:b/>
                <w:bCs/>
                <w:color w:val="000000"/>
                <w:lang w:eastAsia="ja-JP"/>
              </w:rPr>
            </w:pPr>
          </w:p>
        </w:tc>
        <w:tc>
          <w:tcPr>
            <w:tcW w:w="1984" w:type="dxa"/>
            <w:shd w:val="clear" w:color="auto" w:fill="D7D7D7" w:themeFill="background1" w:themeFillShade="D8"/>
          </w:tcPr>
          <w:p>
            <w:pPr>
              <w:pStyle w:val="123"/>
              <w:tabs>
                <w:tab w:val="right" w:pos="1938"/>
              </w:tabs>
              <w:spacing w:before="108" w:after="108" w:line="252" w:lineRule="auto"/>
              <w:rPr>
                <w:rFonts w:ascii="Times New Roman" w:hAnsi="Times New Roman" w:eastAsia="宋体" w:cs="Times New Roman"/>
                <w:b/>
                <w:bCs/>
                <w:color w:val="000000"/>
                <w:lang w:eastAsia="zh-CN"/>
              </w:rPr>
            </w:pPr>
            <w:r>
              <w:rPr>
                <w:rFonts w:ascii="Times New Roman" w:hAnsi="Times New Roman" w:eastAsia="宋体" w:cs="Times New Roman"/>
                <w:b/>
                <w:bCs/>
                <w:color w:val="000000"/>
                <w:lang w:eastAsia="zh-CN"/>
              </w:rPr>
              <w:t>1</w:t>
            </w:r>
            <w:r>
              <w:rPr>
                <w:rFonts w:hint="eastAsia" w:ascii="Times New Roman" w:hAnsi="Times New Roman" w:eastAsia="宋体" w:cs="Times New Roman"/>
                <w:b/>
                <w:bCs/>
                <w:color w:val="000000"/>
                <w:lang w:eastAsia="zh-CN"/>
              </w:rPr>
              <w:t xml:space="preserve"> </w:t>
            </w:r>
            <w:r>
              <w:rPr>
                <w:rFonts w:ascii="Times New Roman" w:hAnsi="Times New Roman" w:eastAsia="宋体" w:cs="Times New Roman"/>
                <w:b/>
                <w:bCs/>
                <w:color w:val="000000"/>
                <w:lang w:eastAsia="zh-CN"/>
              </w:rPr>
              <w:t xml:space="preserve">CW SDM </w:t>
            </w:r>
            <w:r>
              <w:rPr>
                <w:rFonts w:hint="eastAsia" w:ascii="Times New Roman" w:hAnsi="Times New Roman" w:eastAsia="宋体" w:cs="Times New Roman"/>
                <w:b/>
                <w:bCs/>
                <w:color w:val="000000"/>
                <w:lang w:eastAsia="zh-CN"/>
              </w:rPr>
              <w:t>STxMP</w:t>
            </w:r>
          </w:p>
        </w:tc>
        <w:tc>
          <w:tcPr>
            <w:tcW w:w="1474" w:type="dxa"/>
            <w:vAlign w:val="center"/>
          </w:tcPr>
          <w:p>
            <w:pPr>
              <w:pStyle w:val="25"/>
              <w:spacing w:before="108" w:after="108"/>
              <w:jc w:val="center"/>
            </w:pPr>
            <w:r>
              <w:rPr>
                <w:rFonts w:ascii="Arial" w:hAnsi="Arial" w:cs="Arial"/>
                <w:color w:val="000000"/>
                <w:sz w:val="16"/>
                <w:szCs w:val="16"/>
              </w:rPr>
              <w:t>474.71</w:t>
            </w:r>
          </w:p>
          <w:p>
            <w:pPr>
              <w:pStyle w:val="25"/>
              <w:spacing w:before="108" w:after="108"/>
              <w:jc w:val="center"/>
              <w:rPr>
                <w:rFonts w:ascii="Times New Roman" w:hAnsi="Times New Roman" w:cs="Times New Roman"/>
                <w:color w:val="000000"/>
              </w:rPr>
            </w:pPr>
            <w:r>
              <w:rPr>
                <w:rFonts w:ascii="Arial" w:hAnsi="Arial" w:cs="Arial"/>
                <w:b/>
                <w:bCs/>
                <w:color w:val="000000"/>
                <w:sz w:val="16"/>
                <w:szCs w:val="16"/>
              </w:rPr>
              <w:t>10.2% </w:t>
            </w:r>
            <w:r>
              <w:rPr>
                <w:rFonts w:ascii="Arial" w:hAnsi="Arial" w:cs="Arial"/>
                <w:b/>
                <w:bCs/>
                <w:color w:val="00B050"/>
                <w:sz w:val="16"/>
                <w:szCs w:val="16"/>
              </w:rPr>
              <w:t>(↑)</w:t>
            </w:r>
          </w:p>
        </w:tc>
        <w:tc>
          <w:tcPr>
            <w:tcW w:w="1474" w:type="dxa"/>
            <w:vAlign w:val="center"/>
          </w:tcPr>
          <w:p>
            <w:pPr>
              <w:pStyle w:val="25"/>
              <w:spacing w:before="108" w:after="108"/>
              <w:jc w:val="center"/>
            </w:pPr>
            <w:r>
              <w:rPr>
                <w:rFonts w:ascii="Arial" w:hAnsi="Arial" w:cs="Arial"/>
                <w:color w:val="000000"/>
                <w:sz w:val="16"/>
                <w:szCs w:val="16"/>
              </w:rPr>
              <w:t>174.64</w:t>
            </w:r>
          </w:p>
          <w:p>
            <w:pPr>
              <w:pStyle w:val="25"/>
              <w:spacing w:before="108" w:after="108"/>
              <w:jc w:val="center"/>
              <w:rPr>
                <w:rFonts w:ascii="Times New Roman" w:hAnsi="Times New Roman" w:cs="Times New Roman"/>
                <w:color w:val="000000"/>
              </w:rPr>
            </w:pPr>
            <w:r>
              <w:rPr>
                <w:rFonts w:ascii="Arial" w:hAnsi="Arial" w:cs="Arial"/>
                <w:color w:val="000000"/>
                <w:sz w:val="16"/>
                <w:szCs w:val="16"/>
              </w:rPr>
              <w:t>-</w:t>
            </w:r>
            <w:r>
              <w:rPr>
                <w:rFonts w:ascii="Arial" w:hAnsi="Arial" w:cs="Arial"/>
                <w:b/>
                <w:bCs/>
                <w:color w:val="000000"/>
                <w:sz w:val="16"/>
                <w:szCs w:val="16"/>
              </w:rPr>
              <w:t>6.6% </w:t>
            </w:r>
            <w:r>
              <w:rPr>
                <w:rFonts w:ascii="Arial" w:hAnsi="Arial" w:cs="Arial"/>
                <w:b/>
                <w:bCs/>
                <w:color w:val="FF0000"/>
                <w:sz w:val="16"/>
                <w:szCs w:val="16"/>
              </w:rPr>
              <w:t>(↓)</w:t>
            </w:r>
          </w:p>
        </w:tc>
        <w:tc>
          <w:tcPr>
            <w:tcW w:w="1474" w:type="dxa"/>
            <w:vAlign w:val="center"/>
          </w:tcPr>
          <w:p>
            <w:pPr>
              <w:pStyle w:val="25"/>
              <w:spacing w:before="108" w:after="108"/>
              <w:jc w:val="center"/>
            </w:pPr>
            <w:r>
              <w:rPr>
                <w:rFonts w:ascii="Arial" w:hAnsi="Arial" w:cs="Arial"/>
                <w:color w:val="000000"/>
                <w:sz w:val="16"/>
                <w:szCs w:val="16"/>
              </w:rPr>
              <w:t>493.72</w:t>
            </w:r>
          </w:p>
          <w:p>
            <w:pPr>
              <w:pStyle w:val="25"/>
              <w:spacing w:before="108" w:after="108"/>
              <w:jc w:val="center"/>
              <w:rPr>
                <w:rFonts w:ascii="Times New Roman" w:hAnsi="Times New Roman" w:cs="Times New Roman"/>
                <w:color w:val="000000"/>
              </w:rPr>
            </w:pPr>
            <w:r>
              <w:rPr>
                <w:rFonts w:ascii="Arial" w:hAnsi="Arial" w:cs="Arial"/>
                <w:b/>
                <w:bCs/>
                <w:color w:val="000000"/>
                <w:sz w:val="16"/>
                <w:szCs w:val="16"/>
              </w:rPr>
              <w:t>-0.7% </w:t>
            </w:r>
            <w:r>
              <w:rPr>
                <w:rFonts w:ascii="Arial" w:hAnsi="Arial" w:cs="Arial"/>
                <w:b/>
                <w:bCs/>
                <w:color w:val="FF0000"/>
                <w:sz w:val="16"/>
                <w:szCs w:val="16"/>
              </w:rPr>
              <w:t>(↓)</w:t>
            </w:r>
          </w:p>
        </w:tc>
        <w:tc>
          <w:tcPr>
            <w:tcW w:w="1474" w:type="dxa"/>
            <w:vAlign w:val="center"/>
          </w:tcPr>
          <w:p>
            <w:pPr>
              <w:pStyle w:val="25"/>
              <w:spacing w:before="108" w:after="108"/>
              <w:jc w:val="center"/>
            </w:pPr>
            <w:r>
              <w:rPr>
                <w:rFonts w:ascii="Arial" w:hAnsi="Arial" w:cs="Arial"/>
                <w:color w:val="000000"/>
                <w:sz w:val="16"/>
                <w:szCs w:val="16"/>
              </w:rPr>
              <w:t>895.34</w:t>
            </w:r>
          </w:p>
          <w:p>
            <w:pPr>
              <w:pStyle w:val="25"/>
              <w:spacing w:before="108" w:after="108"/>
              <w:jc w:val="center"/>
              <w:rPr>
                <w:rFonts w:ascii="Times New Roman" w:hAnsi="Times New Roman" w:cs="Times New Roman"/>
                <w:color w:val="000000"/>
              </w:rPr>
            </w:pPr>
            <w:r>
              <w:rPr>
                <w:rFonts w:ascii="Arial" w:hAnsi="Arial" w:cs="Arial"/>
                <w:b/>
                <w:bCs/>
                <w:color w:val="000000"/>
                <w:sz w:val="16"/>
                <w:szCs w:val="16"/>
              </w:rPr>
              <w:t>70.6% </w:t>
            </w:r>
            <w:r>
              <w:rPr>
                <w:rFonts w:ascii="Arial" w:hAnsi="Arial" w:cs="Arial"/>
                <w:b/>
                <w:bCs/>
                <w:color w:val="00B050"/>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50" w:type="dxa"/>
            <w:vMerge w:val="continue"/>
            <w:shd w:val="clear" w:color="auto" w:fill="D7D7D7" w:themeFill="background1" w:themeFillShade="D8"/>
          </w:tcPr>
          <w:p>
            <w:pPr>
              <w:pStyle w:val="123"/>
              <w:spacing w:before="108" w:after="108" w:line="252" w:lineRule="auto"/>
              <w:rPr>
                <w:rFonts w:ascii="Times New Roman" w:hAnsi="Times New Roman" w:cs="Times New Roman"/>
                <w:b/>
                <w:bCs/>
                <w:color w:val="000000"/>
                <w:lang w:eastAsia="ja-JP"/>
              </w:rPr>
            </w:pPr>
          </w:p>
        </w:tc>
        <w:tc>
          <w:tcPr>
            <w:tcW w:w="1984" w:type="dxa"/>
            <w:shd w:val="clear" w:color="auto" w:fill="D7D7D7" w:themeFill="background1" w:themeFillShade="D8"/>
          </w:tcPr>
          <w:p>
            <w:pPr>
              <w:pStyle w:val="123"/>
              <w:spacing w:before="108" w:after="108" w:line="252" w:lineRule="auto"/>
              <w:rPr>
                <w:rFonts w:ascii="Times New Roman" w:hAnsi="Times New Roman" w:eastAsia="宋体" w:cs="Times New Roman"/>
                <w:b/>
                <w:bCs/>
                <w:color w:val="000000"/>
                <w:lang w:eastAsia="zh-CN"/>
              </w:rPr>
            </w:pPr>
            <w:r>
              <w:rPr>
                <w:rFonts w:ascii="Times New Roman" w:hAnsi="Times New Roman" w:eastAsia="宋体" w:cs="Times New Roman"/>
                <w:b/>
                <w:bCs/>
                <w:color w:val="000000"/>
                <w:lang w:eastAsia="zh-CN"/>
              </w:rPr>
              <w:t>2</w:t>
            </w:r>
            <w:r>
              <w:rPr>
                <w:rFonts w:hint="eastAsia" w:ascii="Times New Roman" w:hAnsi="Times New Roman" w:eastAsia="宋体" w:cs="Times New Roman"/>
                <w:b/>
                <w:bCs/>
                <w:color w:val="000000"/>
                <w:lang w:eastAsia="zh-CN"/>
              </w:rPr>
              <w:t xml:space="preserve"> </w:t>
            </w:r>
            <w:r>
              <w:rPr>
                <w:rFonts w:ascii="Times New Roman" w:hAnsi="Times New Roman" w:eastAsia="宋体" w:cs="Times New Roman"/>
                <w:b/>
                <w:bCs/>
                <w:color w:val="000000"/>
                <w:lang w:eastAsia="zh-CN"/>
              </w:rPr>
              <w:t>CW</w:t>
            </w:r>
            <w:r>
              <w:rPr>
                <w:rFonts w:hint="eastAsia" w:ascii="Times New Roman" w:hAnsi="Times New Roman" w:eastAsia="宋体" w:cs="Times New Roman"/>
                <w:b/>
                <w:bCs/>
                <w:color w:val="000000"/>
                <w:lang w:eastAsia="zh-CN"/>
              </w:rPr>
              <w:t>s</w:t>
            </w:r>
            <w:r>
              <w:rPr>
                <w:rFonts w:ascii="Times New Roman" w:hAnsi="Times New Roman" w:eastAsia="宋体" w:cs="Times New Roman"/>
                <w:b/>
                <w:bCs/>
                <w:color w:val="000000"/>
                <w:lang w:eastAsia="zh-CN"/>
              </w:rPr>
              <w:t xml:space="preserve"> SDM </w:t>
            </w:r>
            <w:r>
              <w:rPr>
                <w:rFonts w:hint="eastAsia" w:ascii="Times New Roman" w:hAnsi="Times New Roman" w:eastAsia="宋体" w:cs="Times New Roman"/>
                <w:b/>
                <w:bCs/>
                <w:color w:val="000000"/>
                <w:lang w:eastAsia="zh-CN"/>
              </w:rPr>
              <w:t>STxMP</w:t>
            </w:r>
          </w:p>
        </w:tc>
        <w:tc>
          <w:tcPr>
            <w:tcW w:w="1474" w:type="dxa"/>
            <w:vAlign w:val="center"/>
          </w:tcPr>
          <w:p>
            <w:pPr>
              <w:pStyle w:val="25"/>
              <w:spacing w:before="108" w:after="108"/>
              <w:jc w:val="center"/>
            </w:pPr>
            <w:r>
              <w:rPr>
                <w:rFonts w:ascii="Arial" w:hAnsi="Arial" w:cs="Arial"/>
                <w:color w:val="000000"/>
                <w:sz w:val="16"/>
                <w:szCs w:val="16"/>
              </w:rPr>
              <w:t>494.11</w:t>
            </w:r>
          </w:p>
          <w:p>
            <w:pPr>
              <w:pStyle w:val="25"/>
              <w:spacing w:before="108" w:after="108"/>
              <w:jc w:val="center"/>
              <w:rPr>
                <w:rFonts w:ascii="Times New Roman" w:hAnsi="Times New Roman" w:cs="Times New Roman"/>
                <w:color w:val="000000"/>
              </w:rPr>
            </w:pPr>
            <w:r>
              <w:rPr>
                <w:rFonts w:ascii="Arial" w:hAnsi="Arial" w:cs="Arial"/>
                <w:b/>
                <w:bCs/>
                <w:color w:val="000000"/>
                <w:sz w:val="16"/>
                <w:szCs w:val="16"/>
              </w:rPr>
              <w:t>14.7% </w:t>
            </w:r>
            <w:r>
              <w:rPr>
                <w:rFonts w:ascii="Arial" w:hAnsi="Arial" w:cs="Arial"/>
                <w:b/>
                <w:bCs/>
                <w:color w:val="00B050"/>
                <w:sz w:val="16"/>
                <w:szCs w:val="16"/>
              </w:rPr>
              <w:t>(↑)</w:t>
            </w:r>
          </w:p>
        </w:tc>
        <w:tc>
          <w:tcPr>
            <w:tcW w:w="1474" w:type="dxa"/>
            <w:vAlign w:val="center"/>
          </w:tcPr>
          <w:p>
            <w:pPr>
              <w:pStyle w:val="25"/>
              <w:spacing w:before="108" w:after="108"/>
              <w:jc w:val="center"/>
            </w:pPr>
            <w:r>
              <w:rPr>
                <w:rFonts w:ascii="Arial" w:hAnsi="Arial" w:cs="Arial"/>
                <w:color w:val="000000"/>
                <w:sz w:val="16"/>
                <w:szCs w:val="16"/>
              </w:rPr>
              <w:t>191.32</w:t>
            </w:r>
          </w:p>
          <w:p>
            <w:pPr>
              <w:pStyle w:val="25"/>
              <w:spacing w:before="108" w:after="108"/>
              <w:jc w:val="center"/>
              <w:rPr>
                <w:rFonts w:ascii="Times New Roman" w:hAnsi="Times New Roman" w:cs="Times New Roman"/>
                <w:color w:val="000000"/>
              </w:rPr>
            </w:pPr>
            <w:r>
              <w:rPr>
                <w:rFonts w:ascii="Arial" w:hAnsi="Arial" w:cs="Arial"/>
                <w:b/>
                <w:bCs/>
                <w:color w:val="000000"/>
                <w:sz w:val="16"/>
                <w:szCs w:val="16"/>
              </w:rPr>
              <w:t>2.3% </w:t>
            </w:r>
            <w:r>
              <w:rPr>
                <w:rFonts w:ascii="Arial" w:hAnsi="Arial" w:cs="Arial"/>
                <w:b/>
                <w:bCs/>
                <w:color w:val="00B050"/>
                <w:sz w:val="16"/>
                <w:szCs w:val="16"/>
              </w:rPr>
              <w:t>(↑)</w:t>
            </w:r>
          </w:p>
        </w:tc>
        <w:tc>
          <w:tcPr>
            <w:tcW w:w="1474" w:type="dxa"/>
            <w:vAlign w:val="center"/>
          </w:tcPr>
          <w:p>
            <w:pPr>
              <w:pStyle w:val="25"/>
              <w:spacing w:before="108" w:after="108"/>
              <w:jc w:val="center"/>
            </w:pPr>
            <w:r>
              <w:rPr>
                <w:rFonts w:ascii="Arial" w:hAnsi="Arial" w:cs="Arial"/>
                <w:color w:val="000000"/>
                <w:sz w:val="16"/>
                <w:szCs w:val="16"/>
              </w:rPr>
              <w:t>512.59</w:t>
            </w:r>
          </w:p>
          <w:p>
            <w:pPr>
              <w:pStyle w:val="25"/>
              <w:spacing w:before="108" w:after="108"/>
              <w:jc w:val="center"/>
              <w:rPr>
                <w:rFonts w:ascii="Times New Roman" w:hAnsi="Times New Roman" w:cs="Times New Roman"/>
                <w:color w:val="000000"/>
              </w:rPr>
            </w:pPr>
            <w:r>
              <w:rPr>
                <w:rFonts w:ascii="Arial" w:hAnsi="Arial" w:cs="Arial"/>
                <w:b/>
                <w:bCs/>
                <w:color w:val="000000"/>
                <w:sz w:val="16"/>
                <w:szCs w:val="16"/>
              </w:rPr>
              <w:t>3.0% </w:t>
            </w:r>
            <w:r>
              <w:rPr>
                <w:rFonts w:ascii="Arial" w:hAnsi="Arial" w:cs="Arial"/>
                <w:b/>
                <w:bCs/>
                <w:color w:val="00B050"/>
                <w:sz w:val="16"/>
                <w:szCs w:val="16"/>
              </w:rPr>
              <w:t>(↑)</w:t>
            </w:r>
          </w:p>
        </w:tc>
        <w:tc>
          <w:tcPr>
            <w:tcW w:w="1474" w:type="dxa"/>
            <w:vAlign w:val="center"/>
          </w:tcPr>
          <w:p>
            <w:pPr>
              <w:pStyle w:val="25"/>
              <w:spacing w:before="108" w:after="108"/>
              <w:jc w:val="center"/>
            </w:pPr>
            <w:r>
              <w:rPr>
                <w:rFonts w:ascii="Arial" w:hAnsi="Arial" w:cs="Arial"/>
                <w:color w:val="000000"/>
                <w:sz w:val="16"/>
                <w:szCs w:val="16"/>
              </w:rPr>
              <w:t>895.50</w:t>
            </w:r>
          </w:p>
          <w:p>
            <w:pPr>
              <w:pStyle w:val="25"/>
              <w:spacing w:before="108" w:after="108"/>
              <w:jc w:val="center"/>
              <w:rPr>
                <w:rFonts w:ascii="Times New Roman" w:hAnsi="Times New Roman" w:cs="Times New Roman"/>
                <w:color w:val="000000"/>
              </w:rPr>
            </w:pPr>
            <w:r>
              <w:rPr>
                <w:rFonts w:ascii="Arial" w:hAnsi="Arial" w:cs="Arial"/>
                <w:b/>
                <w:bCs/>
                <w:color w:val="000000"/>
                <w:sz w:val="16"/>
                <w:szCs w:val="16"/>
              </w:rPr>
              <w:t>70.7% </w:t>
            </w:r>
            <w:r>
              <w:rPr>
                <w:rFonts w:ascii="Arial" w:hAnsi="Arial" w:cs="Arial"/>
                <w:b/>
                <w:bCs/>
                <w:color w:val="00B050"/>
                <w:sz w:val="16"/>
                <w:szCs w:val="16"/>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5"/>
          <w:wAfter w:w="7880" w:type="dxa"/>
          <w:trHeight w:val="142" w:hRule="atLeast"/>
          <w:jc w:val="center"/>
        </w:trPr>
        <w:tc>
          <w:tcPr>
            <w:tcW w:w="850" w:type="dxa"/>
          </w:tcPr>
          <w:p>
            <w:pPr>
              <w:pStyle w:val="123"/>
              <w:spacing w:before="0" w:beforeLines="0" w:afterLines="0"/>
              <w:rPr>
                <w:rFonts w:ascii="Times New Roman" w:hAnsi="Times New Roman" w:cs="Times New Roman"/>
                <w:color w:val="000000"/>
                <w:sz w:val="13"/>
                <w:szCs w:val="13"/>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50" w:type="dxa"/>
            <w:vMerge w:val="restart"/>
            <w:shd w:val="clear" w:color="auto" w:fill="D7D7D7" w:themeFill="background1" w:themeFillShade="D8"/>
          </w:tcPr>
          <w:p>
            <w:pPr>
              <w:pStyle w:val="123"/>
              <w:spacing w:before="108" w:after="108" w:line="252" w:lineRule="auto"/>
              <w:rPr>
                <w:rFonts w:ascii="Times New Roman" w:hAnsi="Times New Roman" w:cs="Times New Roman"/>
                <w:b/>
                <w:bCs/>
                <w:color w:val="000000"/>
                <w:lang w:eastAsia="ja-JP"/>
              </w:rPr>
            </w:pPr>
            <w:r>
              <w:rPr>
                <w:rFonts w:ascii="Times New Roman" w:hAnsi="Times New Roman" w:eastAsia="宋体" w:cs="Times New Roman"/>
                <w:b/>
                <w:bCs/>
                <w:color w:val="000000"/>
                <w:lang w:eastAsia="zh-CN"/>
              </w:rPr>
              <w:t>~</w:t>
            </w:r>
            <w:r>
              <w:rPr>
                <w:rFonts w:hint="eastAsia" w:ascii="Times New Roman" w:hAnsi="Times New Roman" w:eastAsia="宋体" w:cs="Times New Roman"/>
                <w:b/>
                <w:bCs/>
                <w:color w:val="000000"/>
                <w:lang w:eastAsia="zh-CN"/>
              </w:rPr>
              <w:t xml:space="preserve"> 30</w:t>
            </w:r>
            <w:r>
              <w:rPr>
                <w:rFonts w:ascii="Times New Roman" w:hAnsi="Times New Roman" w:eastAsia="宋体" w:cs="Times New Roman"/>
                <w:b/>
                <w:bCs/>
                <w:color w:val="000000"/>
                <w:lang w:eastAsia="zh-CN"/>
              </w:rPr>
              <w:t>%</w:t>
            </w:r>
          </w:p>
        </w:tc>
        <w:tc>
          <w:tcPr>
            <w:tcW w:w="1984" w:type="dxa"/>
            <w:shd w:val="clear" w:color="auto" w:fill="D7D7D7" w:themeFill="background1" w:themeFillShade="D8"/>
          </w:tcPr>
          <w:p>
            <w:pPr>
              <w:pStyle w:val="123"/>
              <w:spacing w:before="108" w:after="108" w:line="252" w:lineRule="auto"/>
              <w:jc w:val="left"/>
              <w:rPr>
                <w:rFonts w:ascii="Times New Roman" w:hAnsi="Times New Roman" w:eastAsia="宋体" w:cs="Times New Roman"/>
                <w:b/>
                <w:bCs/>
                <w:color w:val="000000"/>
                <w:lang w:eastAsia="zh-CN"/>
              </w:rPr>
            </w:pPr>
            <w:r>
              <w:rPr>
                <w:rFonts w:hint="eastAsia" w:ascii="Times New Roman" w:hAnsi="Times New Roman" w:eastAsia="宋体" w:cs="Times New Roman"/>
                <w:b/>
                <w:bCs/>
                <w:color w:val="000000"/>
                <w:lang w:eastAsia="zh-CN"/>
              </w:rPr>
              <w:t>Single panel with panel selection</w:t>
            </w:r>
          </w:p>
        </w:tc>
        <w:tc>
          <w:tcPr>
            <w:tcW w:w="1474" w:type="dxa"/>
            <w:vAlign w:val="center"/>
          </w:tcPr>
          <w:p>
            <w:pPr>
              <w:pStyle w:val="25"/>
              <w:spacing w:before="108" w:after="108"/>
              <w:jc w:val="center"/>
              <w:rPr>
                <w:rFonts w:ascii="Times New Roman" w:hAnsi="Times New Roman" w:cs="Times New Roman"/>
                <w:color w:val="000000"/>
                <w:sz w:val="18"/>
                <w:szCs w:val="18"/>
              </w:rPr>
            </w:pPr>
            <w:r>
              <w:rPr>
                <w:rFonts w:ascii="Times New Roman" w:hAnsi="Times New Roman" w:cs="Times New Roman"/>
                <w:color w:val="000000"/>
                <w:sz w:val="18"/>
                <w:szCs w:val="18"/>
              </w:rPr>
              <w:t>357.51</w:t>
            </w:r>
          </w:p>
        </w:tc>
        <w:tc>
          <w:tcPr>
            <w:tcW w:w="1474" w:type="dxa"/>
            <w:vAlign w:val="center"/>
          </w:tcPr>
          <w:p>
            <w:pPr>
              <w:pStyle w:val="25"/>
              <w:spacing w:before="108" w:after="108"/>
              <w:jc w:val="center"/>
              <w:rPr>
                <w:rFonts w:ascii="Times New Roman" w:hAnsi="Times New Roman" w:cs="Times New Roman"/>
                <w:color w:val="000000"/>
                <w:sz w:val="18"/>
                <w:szCs w:val="18"/>
              </w:rPr>
            </w:pPr>
            <w:r>
              <w:rPr>
                <w:rFonts w:ascii="Times New Roman" w:hAnsi="Times New Roman" w:cs="Times New Roman"/>
                <w:color w:val="000000"/>
                <w:sz w:val="18"/>
                <w:szCs w:val="18"/>
              </w:rPr>
              <w:t>111.00</w:t>
            </w:r>
          </w:p>
        </w:tc>
        <w:tc>
          <w:tcPr>
            <w:tcW w:w="1474" w:type="dxa"/>
            <w:vAlign w:val="center"/>
          </w:tcPr>
          <w:p>
            <w:pPr>
              <w:pStyle w:val="25"/>
              <w:spacing w:before="108" w:after="108"/>
              <w:jc w:val="center"/>
              <w:rPr>
                <w:rFonts w:ascii="Times New Roman" w:hAnsi="Times New Roman" w:cs="Times New Roman"/>
                <w:color w:val="000000"/>
                <w:sz w:val="18"/>
                <w:szCs w:val="18"/>
              </w:rPr>
            </w:pPr>
            <w:r>
              <w:rPr>
                <w:rFonts w:ascii="Times New Roman" w:hAnsi="Times New Roman" w:cs="Times New Roman"/>
                <w:color w:val="000000"/>
                <w:sz w:val="18"/>
                <w:szCs w:val="18"/>
              </w:rPr>
              <w:t>379.38</w:t>
            </w:r>
          </w:p>
        </w:tc>
        <w:tc>
          <w:tcPr>
            <w:tcW w:w="1474" w:type="dxa"/>
            <w:vAlign w:val="center"/>
          </w:tcPr>
          <w:p>
            <w:pPr>
              <w:pStyle w:val="25"/>
              <w:spacing w:before="108" w:after="108"/>
              <w:jc w:val="center"/>
              <w:rPr>
                <w:rFonts w:ascii="Times New Roman" w:hAnsi="Times New Roman" w:cs="Times New Roman"/>
                <w:color w:val="000000"/>
                <w:sz w:val="18"/>
                <w:szCs w:val="18"/>
              </w:rPr>
            </w:pPr>
            <w:r>
              <w:rPr>
                <w:rFonts w:ascii="Times New Roman" w:hAnsi="Times New Roman" w:cs="Times New Roman"/>
                <w:color w:val="000000"/>
                <w:sz w:val="18"/>
                <w:szCs w:val="18"/>
              </w:rPr>
              <w:t>524.71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50" w:type="dxa"/>
            <w:vMerge w:val="continue"/>
            <w:shd w:val="clear" w:color="auto" w:fill="D7D7D7" w:themeFill="background1" w:themeFillShade="D8"/>
          </w:tcPr>
          <w:p>
            <w:pPr>
              <w:pStyle w:val="123"/>
              <w:spacing w:before="108" w:after="108" w:line="252" w:lineRule="auto"/>
              <w:rPr>
                <w:rFonts w:ascii="Times New Roman" w:hAnsi="Times New Roman" w:cs="Times New Roman"/>
                <w:b/>
                <w:bCs/>
                <w:color w:val="000000"/>
                <w:lang w:eastAsia="ja-JP"/>
              </w:rPr>
            </w:pPr>
          </w:p>
        </w:tc>
        <w:tc>
          <w:tcPr>
            <w:tcW w:w="1984" w:type="dxa"/>
            <w:shd w:val="clear" w:color="auto" w:fill="D7D7D7" w:themeFill="background1" w:themeFillShade="D8"/>
          </w:tcPr>
          <w:p>
            <w:pPr>
              <w:pStyle w:val="123"/>
              <w:tabs>
                <w:tab w:val="right" w:pos="1938"/>
              </w:tabs>
              <w:spacing w:before="108" w:after="108" w:line="252" w:lineRule="auto"/>
              <w:rPr>
                <w:rFonts w:ascii="Times New Roman" w:hAnsi="Times New Roman" w:eastAsia="宋体" w:cs="Times New Roman"/>
                <w:b/>
                <w:bCs/>
                <w:color w:val="000000"/>
                <w:lang w:eastAsia="zh-CN"/>
              </w:rPr>
            </w:pPr>
            <w:r>
              <w:rPr>
                <w:rFonts w:ascii="Times New Roman" w:hAnsi="Times New Roman" w:eastAsia="宋体" w:cs="Times New Roman"/>
                <w:b/>
                <w:bCs/>
                <w:color w:val="000000"/>
                <w:lang w:eastAsia="zh-CN"/>
              </w:rPr>
              <w:t>1</w:t>
            </w:r>
            <w:r>
              <w:rPr>
                <w:rFonts w:hint="eastAsia" w:ascii="Times New Roman" w:hAnsi="Times New Roman" w:eastAsia="宋体" w:cs="Times New Roman"/>
                <w:b/>
                <w:bCs/>
                <w:color w:val="000000"/>
                <w:lang w:eastAsia="zh-CN"/>
              </w:rPr>
              <w:t xml:space="preserve"> </w:t>
            </w:r>
            <w:r>
              <w:rPr>
                <w:rFonts w:ascii="Times New Roman" w:hAnsi="Times New Roman" w:eastAsia="宋体" w:cs="Times New Roman"/>
                <w:b/>
                <w:bCs/>
                <w:color w:val="000000"/>
                <w:lang w:eastAsia="zh-CN"/>
              </w:rPr>
              <w:t xml:space="preserve">CW SDM </w:t>
            </w:r>
            <w:r>
              <w:rPr>
                <w:rFonts w:hint="eastAsia" w:ascii="Times New Roman" w:hAnsi="Times New Roman" w:eastAsia="宋体" w:cs="Times New Roman"/>
                <w:b/>
                <w:bCs/>
                <w:color w:val="000000"/>
                <w:lang w:eastAsia="zh-CN"/>
              </w:rPr>
              <w:t>STxMP</w:t>
            </w:r>
          </w:p>
        </w:tc>
        <w:tc>
          <w:tcPr>
            <w:tcW w:w="1474" w:type="dxa"/>
            <w:vAlign w:val="center"/>
          </w:tcPr>
          <w:p>
            <w:pPr>
              <w:pStyle w:val="25"/>
              <w:spacing w:before="108" w:after="108"/>
              <w:jc w:val="center"/>
              <w:rPr>
                <w:rFonts w:ascii="Times New Roman" w:hAnsi="Times New Roman" w:cs="Times New Roman"/>
                <w:sz w:val="18"/>
                <w:szCs w:val="18"/>
              </w:rPr>
            </w:pPr>
            <w:r>
              <w:rPr>
                <w:rFonts w:ascii="Times New Roman" w:hAnsi="Times New Roman" w:cs="Times New Roman"/>
                <w:color w:val="000000"/>
                <w:sz w:val="18"/>
                <w:szCs w:val="18"/>
              </w:rPr>
              <w:t>387.08</w:t>
            </w:r>
          </w:p>
          <w:p>
            <w:pPr>
              <w:pStyle w:val="25"/>
              <w:spacing w:before="108" w:after="108"/>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8.3% </w:t>
            </w:r>
            <w:r>
              <w:rPr>
                <w:rFonts w:ascii="Times New Roman" w:hAnsi="Times New Roman" w:cs="Times New Roman"/>
                <w:b/>
                <w:bCs/>
                <w:color w:val="00B050"/>
                <w:sz w:val="18"/>
                <w:szCs w:val="18"/>
              </w:rPr>
              <w:t>(↑)</w:t>
            </w:r>
          </w:p>
        </w:tc>
        <w:tc>
          <w:tcPr>
            <w:tcW w:w="1474" w:type="dxa"/>
            <w:vAlign w:val="center"/>
          </w:tcPr>
          <w:p>
            <w:pPr>
              <w:pStyle w:val="25"/>
              <w:spacing w:before="108" w:after="108"/>
              <w:jc w:val="center"/>
              <w:rPr>
                <w:rFonts w:ascii="Times New Roman" w:hAnsi="Times New Roman" w:cs="Times New Roman"/>
                <w:sz w:val="18"/>
                <w:szCs w:val="18"/>
              </w:rPr>
            </w:pPr>
            <w:r>
              <w:rPr>
                <w:rFonts w:ascii="Times New Roman" w:hAnsi="Times New Roman" w:cs="Times New Roman"/>
                <w:color w:val="000000"/>
                <w:sz w:val="18"/>
                <w:szCs w:val="18"/>
              </w:rPr>
              <w:t>108.57</w:t>
            </w:r>
          </w:p>
          <w:p>
            <w:pPr>
              <w:pStyle w:val="25"/>
              <w:spacing w:before="108" w:after="108"/>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-2.2% </w:t>
            </w:r>
            <w:r>
              <w:rPr>
                <w:rFonts w:ascii="Times New Roman" w:hAnsi="Times New Roman" w:cs="Times New Roman"/>
                <w:b/>
                <w:bCs/>
                <w:color w:val="FF0000"/>
                <w:sz w:val="18"/>
                <w:szCs w:val="18"/>
              </w:rPr>
              <w:t>(↓)</w:t>
            </w:r>
          </w:p>
        </w:tc>
        <w:tc>
          <w:tcPr>
            <w:tcW w:w="1474" w:type="dxa"/>
            <w:vAlign w:val="center"/>
          </w:tcPr>
          <w:p>
            <w:pPr>
              <w:pStyle w:val="25"/>
              <w:spacing w:before="108" w:after="108"/>
              <w:jc w:val="center"/>
              <w:rPr>
                <w:rFonts w:ascii="Times New Roman" w:hAnsi="Times New Roman" w:cs="Times New Roman"/>
                <w:sz w:val="18"/>
                <w:szCs w:val="18"/>
              </w:rPr>
            </w:pPr>
            <w:r>
              <w:rPr>
                <w:rFonts w:ascii="Times New Roman" w:hAnsi="Times New Roman" w:cs="Times New Roman"/>
                <w:color w:val="000000"/>
                <w:sz w:val="18"/>
                <w:szCs w:val="18"/>
              </w:rPr>
              <w:t>382.65</w:t>
            </w:r>
          </w:p>
          <w:p>
            <w:pPr>
              <w:pStyle w:val="25"/>
              <w:spacing w:before="108" w:after="108"/>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0.9%</w:t>
            </w:r>
            <w:r>
              <w:rPr>
                <w:rFonts w:ascii="Times New Roman" w:hAnsi="Times New Roman" w:cs="Times New Roman"/>
                <w:b/>
                <w:bCs/>
                <w:color w:val="00B050"/>
                <w:sz w:val="18"/>
                <w:szCs w:val="18"/>
              </w:rPr>
              <w:t> (↑)</w:t>
            </w:r>
          </w:p>
        </w:tc>
        <w:tc>
          <w:tcPr>
            <w:tcW w:w="1474" w:type="dxa"/>
            <w:vAlign w:val="center"/>
          </w:tcPr>
          <w:p>
            <w:pPr>
              <w:pStyle w:val="25"/>
              <w:spacing w:before="108" w:after="108"/>
              <w:jc w:val="center"/>
              <w:rPr>
                <w:rFonts w:ascii="Times New Roman" w:hAnsi="Times New Roman" w:cs="Times New Roman"/>
                <w:sz w:val="18"/>
                <w:szCs w:val="18"/>
              </w:rPr>
            </w:pPr>
            <w:r>
              <w:rPr>
                <w:rFonts w:ascii="Times New Roman" w:hAnsi="Times New Roman" w:cs="Times New Roman"/>
                <w:color w:val="000000"/>
                <w:sz w:val="18"/>
                <w:szCs w:val="18"/>
              </w:rPr>
              <w:t>790.22</w:t>
            </w:r>
          </w:p>
          <w:p>
            <w:pPr>
              <w:pStyle w:val="25"/>
              <w:spacing w:before="108" w:after="108"/>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50.6% </w:t>
            </w:r>
            <w:r>
              <w:rPr>
                <w:rFonts w:ascii="Times New Roman" w:hAnsi="Times New Roman" w:cs="Times New Roman"/>
                <w:b/>
                <w:bCs/>
                <w:color w:val="00B05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50" w:type="dxa"/>
            <w:vMerge w:val="continue"/>
            <w:shd w:val="clear" w:color="auto" w:fill="D7D7D7" w:themeFill="background1" w:themeFillShade="D8"/>
          </w:tcPr>
          <w:p>
            <w:pPr>
              <w:pStyle w:val="123"/>
              <w:spacing w:before="108" w:after="108" w:line="252" w:lineRule="auto"/>
              <w:rPr>
                <w:rFonts w:ascii="Times New Roman" w:hAnsi="Times New Roman" w:cs="Times New Roman"/>
                <w:b/>
                <w:bCs/>
                <w:color w:val="000000"/>
                <w:lang w:eastAsia="ja-JP"/>
              </w:rPr>
            </w:pPr>
          </w:p>
        </w:tc>
        <w:tc>
          <w:tcPr>
            <w:tcW w:w="1984" w:type="dxa"/>
            <w:shd w:val="clear" w:color="auto" w:fill="D7D7D7" w:themeFill="background1" w:themeFillShade="D8"/>
          </w:tcPr>
          <w:p>
            <w:pPr>
              <w:pStyle w:val="123"/>
              <w:spacing w:before="108" w:after="108" w:line="252" w:lineRule="auto"/>
              <w:rPr>
                <w:rFonts w:ascii="Times New Roman" w:hAnsi="Times New Roman" w:eastAsia="宋体" w:cs="Times New Roman"/>
                <w:b/>
                <w:bCs/>
                <w:color w:val="000000"/>
                <w:lang w:eastAsia="zh-CN"/>
              </w:rPr>
            </w:pPr>
            <w:r>
              <w:rPr>
                <w:rFonts w:ascii="Times New Roman" w:hAnsi="Times New Roman" w:eastAsia="宋体" w:cs="Times New Roman"/>
                <w:b/>
                <w:bCs/>
                <w:color w:val="000000"/>
                <w:lang w:eastAsia="zh-CN"/>
              </w:rPr>
              <w:t>2</w:t>
            </w:r>
            <w:r>
              <w:rPr>
                <w:rFonts w:hint="eastAsia" w:ascii="Times New Roman" w:hAnsi="Times New Roman" w:eastAsia="宋体" w:cs="Times New Roman"/>
                <w:b/>
                <w:bCs/>
                <w:color w:val="000000"/>
                <w:lang w:eastAsia="zh-CN"/>
              </w:rPr>
              <w:t xml:space="preserve"> </w:t>
            </w:r>
            <w:r>
              <w:rPr>
                <w:rFonts w:ascii="Times New Roman" w:hAnsi="Times New Roman" w:eastAsia="宋体" w:cs="Times New Roman"/>
                <w:b/>
                <w:bCs/>
                <w:color w:val="000000"/>
                <w:lang w:eastAsia="zh-CN"/>
              </w:rPr>
              <w:t>CW</w:t>
            </w:r>
            <w:r>
              <w:rPr>
                <w:rFonts w:hint="eastAsia" w:ascii="Times New Roman" w:hAnsi="Times New Roman" w:eastAsia="宋体" w:cs="Times New Roman"/>
                <w:b/>
                <w:bCs/>
                <w:color w:val="000000"/>
                <w:lang w:eastAsia="zh-CN"/>
              </w:rPr>
              <w:t>s</w:t>
            </w:r>
            <w:r>
              <w:rPr>
                <w:rFonts w:ascii="Times New Roman" w:hAnsi="Times New Roman" w:eastAsia="宋体" w:cs="Times New Roman"/>
                <w:b/>
                <w:bCs/>
                <w:color w:val="000000"/>
                <w:lang w:eastAsia="zh-CN"/>
              </w:rPr>
              <w:t xml:space="preserve"> SDM </w:t>
            </w:r>
            <w:r>
              <w:rPr>
                <w:rFonts w:hint="eastAsia" w:ascii="Times New Roman" w:hAnsi="Times New Roman" w:eastAsia="宋体" w:cs="Times New Roman"/>
                <w:b/>
                <w:bCs/>
                <w:color w:val="000000"/>
                <w:lang w:eastAsia="zh-CN"/>
              </w:rPr>
              <w:t>STxMP</w:t>
            </w:r>
          </w:p>
        </w:tc>
        <w:tc>
          <w:tcPr>
            <w:tcW w:w="1474" w:type="dxa"/>
            <w:vAlign w:val="center"/>
          </w:tcPr>
          <w:p>
            <w:pPr>
              <w:pStyle w:val="25"/>
              <w:spacing w:before="108" w:after="108"/>
              <w:jc w:val="center"/>
              <w:rPr>
                <w:rFonts w:ascii="Times New Roman" w:hAnsi="Times New Roman" w:cs="Times New Roman"/>
                <w:sz w:val="18"/>
                <w:szCs w:val="18"/>
              </w:rPr>
            </w:pPr>
            <w:r>
              <w:rPr>
                <w:rFonts w:ascii="Times New Roman" w:hAnsi="Times New Roman" w:cs="Times New Roman"/>
                <w:color w:val="000000"/>
                <w:sz w:val="18"/>
                <w:szCs w:val="18"/>
              </w:rPr>
              <w:t>406.76</w:t>
            </w:r>
          </w:p>
          <w:p>
            <w:pPr>
              <w:pStyle w:val="25"/>
              <w:spacing w:before="108" w:after="108"/>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13.8% </w:t>
            </w:r>
            <w:r>
              <w:rPr>
                <w:rFonts w:ascii="Times New Roman" w:hAnsi="Times New Roman" w:cs="Times New Roman"/>
                <w:b/>
                <w:bCs/>
                <w:color w:val="00B050"/>
                <w:sz w:val="18"/>
                <w:szCs w:val="18"/>
              </w:rPr>
              <w:t>(↑)</w:t>
            </w:r>
          </w:p>
        </w:tc>
        <w:tc>
          <w:tcPr>
            <w:tcW w:w="1474" w:type="dxa"/>
            <w:vAlign w:val="center"/>
          </w:tcPr>
          <w:p>
            <w:pPr>
              <w:pStyle w:val="25"/>
              <w:spacing w:before="108" w:after="108"/>
              <w:jc w:val="center"/>
              <w:rPr>
                <w:rFonts w:ascii="Times New Roman" w:hAnsi="Times New Roman" w:cs="Times New Roman"/>
                <w:sz w:val="18"/>
                <w:szCs w:val="18"/>
              </w:rPr>
            </w:pPr>
            <w:r>
              <w:rPr>
                <w:rFonts w:ascii="Times New Roman" w:hAnsi="Times New Roman" w:cs="Times New Roman"/>
                <w:color w:val="000000"/>
                <w:sz w:val="18"/>
                <w:szCs w:val="18"/>
              </w:rPr>
              <w:t>119.03</w:t>
            </w:r>
          </w:p>
          <w:p>
            <w:pPr>
              <w:pStyle w:val="25"/>
              <w:spacing w:before="108" w:after="108"/>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7.2% </w:t>
            </w:r>
            <w:r>
              <w:rPr>
                <w:rFonts w:ascii="Times New Roman" w:hAnsi="Times New Roman" w:cs="Times New Roman"/>
                <w:b/>
                <w:bCs/>
                <w:color w:val="00B050"/>
                <w:sz w:val="18"/>
                <w:szCs w:val="18"/>
              </w:rPr>
              <w:t>(↑)</w:t>
            </w:r>
          </w:p>
        </w:tc>
        <w:tc>
          <w:tcPr>
            <w:tcW w:w="1474" w:type="dxa"/>
            <w:vAlign w:val="center"/>
          </w:tcPr>
          <w:p>
            <w:pPr>
              <w:pStyle w:val="25"/>
              <w:spacing w:before="108" w:after="108"/>
              <w:jc w:val="center"/>
              <w:rPr>
                <w:rFonts w:ascii="Times New Roman" w:hAnsi="Times New Roman" w:cs="Times New Roman"/>
                <w:sz w:val="18"/>
                <w:szCs w:val="18"/>
              </w:rPr>
            </w:pPr>
            <w:r>
              <w:rPr>
                <w:rFonts w:ascii="Times New Roman" w:hAnsi="Times New Roman" w:cs="Times New Roman"/>
                <w:color w:val="000000"/>
                <w:sz w:val="18"/>
                <w:szCs w:val="18"/>
              </w:rPr>
              <w:t>404.74</w:t>
            </w:r>
          </w:p>
          <w:p>
            <w:pPr>
              <w:pStyle w:val="25"/>
              <w:spacing w:before="108" w:after="108"/>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6.7%</w:t>
            </w:r>
            <w:r>
              <w:rPr>
                <w:rFonts w:ascii="Times New Roman" w:hAnsi="Times New Roman" w:cs="Times New Roman"/>
                <w:b/>
                <w:bCs/>
                <w:color w:val="00B050"/>
                <w:sz w:val="18"/>
                <w:szCs w:val="18"/>
              </w:rPr>
              <w:t> (↑)</w:t>
            </w:r>
          </w:p>
        </w:tc>
        <w:tc>
          <w:tcPr>
            <w:tcW w:w="1474" w:type="dxa"/>
            <w:vAlign w:val="center"/>
          </w:tcPr>
          <w:p>
            <w:pPr>
              <w:pStyle w:val="25"/>
              <w:spacing w:before="108" w:after="108"/>
              <w:jc w:val="center"/>
              <w:rPr>
                <w:rFonts w:ascii="Times New Roman" w:hAnsi="Times New Roman" w:cs="Times New Roman"/>
                <w:sz w:val="18"/>
                <w:szCs w:val="18"/>
              </w:rPr>
            </w:pPr>
            <w:r>
              <w:rPr>
                <w:rFonts w:ascii="Times New Roman" w:hAnsi="Times New Roman" w:cs="Times New Roman"/>
                <w:color w:val="000000"/>
                <w:sz w:val="18"/>
                <w:szCs w:val="18"/>
              </w:rPr>
              <w:t>808.84</w:t>
            </w:r>
          </w:p>
          <w:p>
            <w:pPr>
              <w:pStyle w:val="25"/>
              <w:spacing w:before="108" w:after="108"/>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54.2% </w:t>
            </w:r>
            <w:r>
              <w:rPr>
                <w:rFonts w:ascii="Times New Roman" w:hAnsi="Times New Roman" w:cs="Times New Roman"/>
                <w:b/>
                <w:bCs/>
                <w:color w:val="00B05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5"/>
          <w:wAfter w:w="7880" w:type="dxa"/>
          <w:trHeight w:val="90" w:hRule="atLeast"/>
          <w:jc w:val="center"/>
        </w:trPr>
        <w:tc>
          <w:tcPr>
            <w:tcW w:w="850" w:type="dxa"/>
          </w:tcPr>
          <w:p>
            <w:pPr>
              <w:pStyle w:val="123"/>
              <w:spacing w:before="0" w:beforeLines="0" w:afterLines="0"/>
              <w:rPr>
                <w:rFonts w:ascii="Times New Roman" w:hAnsi="Times New Roman" w:cs="Times New Roman"/>
                <w:color w:val="000000"/>
                <w:sz w:val="13"/>
                <w:szCs w:val="13"/>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50" w:type="dxa"/>
            <w:vMerge w:val="restart"/>
            <w:shd w:val="clear" w:color="auto" w:fill="D7D7D7" w:themeFill="background1" w:themeFillShade="D8"/>
          </w:tcPr>
          <w:p>
            <w:pPr>
              <w:pStyle w:val="123"/>
              <w:spacing w:before="108" w:after="108" w:line="252" w:lineRule="auto"/>
              <w:rPr>
                <w:rFonts w:ascii="Times New Roman" w:hAnsi="Times New Roman" w:cs="Times New Roman"/>
                <w:b/>
                <w:bCs/>
                <w:color w:val="000000"/>
                <w:lang w:eastAsia="ja-JP"/>
              </w:rPr>
            </w:pPr>
            <w:r>
              <w:rPr>
                <w:rFonts w:ascii="Times New Roman" w:hAnsi="Times New Roman" w:eastAsia="宋体" w:cs="Times New Roman"/>
                <w:b/>
                <w:bCs/>
                <w:color w:val="000000"/>
                <w:lang w:eastAsia="zh-CN"/>
              </w:rPr>
              <w:t>~</w:t>
            </w:r>
            <w:r>
              <w:rPr>
                <w:rFonts w:hint="eastAsia" w:ascii="Times New Roman" w:hAnsi="Times New Roman" w:eastAsia="宋体" w:cs="Times New Roman"/>
                <w:b/>
                <w:bCs/>
                <w:color w:val="000000"/>
                <w:lang w:eastAsia="zh-CN"/>
              </w:rPr>
              <w:t xml:space="preserve"> 50</w:t>
            </w:r>
            <w:r>
              <w:rPr>
                <w:rFonts w:ascii="Times New Roman" w:hAnsi="Times New Roman" w:eastAsia="宋体" w:cs="Times New Roman"/>
                <w:b/>
                <w:bCs/>
                <w:color w:val="000000"/>
                <w:lang w:eastAsia="zh-CN"/>
              </w:rPr>
              <w:t>%</w:t>
            </w:r>
          </w:p>
          <w:p>
            <w:pPr>
              <w:pStyle w:val="123"/>
              <w:spacing w:before="108" w:after="108" w:line="252" w:lineRule="auto"/>
              <w:rPr>
                <w:rFonts w:ascii="Times New Roman" w:hAnsi="Times New Roman" w:cs="Times New Roman"/>
                <w:b/>
                <w:bCs/>
                <w:color w:val="000000"/>
                <w:lang w:eastAsia="ja-JP"/>
              </w:rPr>
            </w:pPr>
          </w:p>
        </w:tc>
        <w:tc>
          <w:tcPr>
            <w:tcW w:w="1984" w:type="dxa"/>
            <w:shd w:val="clear" w:color="auto" w:fill="D7D7D7" w:themeFill="background1" w:themeFillShade="D8"/>
          </w:tcPr>
          <w:p>
            <w:pPr>
              <w:pStyle w:val="123"/>
              <w:spacing w:before="108" w:after="108" w:line="252" w:lineRule="auto"/>
              <w:jc w:val="left"/>
              <w:rPr>
                <w:rFonts w:ascii="Times New Roman" w:hAnsi="Times New Roman" w:eastAsia="宋体" w:cs="Times New Roman"/>
                <w:b/>
                <w:bCs/>
                <w:color w:val="000000"/>
                <w:lang w:eastAsia="zh-CN"/>
              </w:rPr>
            </w:pPr>
            <w:r>
              <w:rPr>
                <w:rFonts w:hint="eastAsia" w:ascii="Times New Roman" w:hAnsi="Times New Roman" w:eastAsia="宋体" w:cs="Times New Roman"/>
                <w:b/>
                <w:bCs/>
                <w:color w:val="000000"/>
                <w:lang w:eastAsia="zh-CN"/>
              </w:rPr>
              <w:t>Single panel with panel selection</w:t>
            </w:r>
          </w:p>
        </w:tc>
        <w:tc>
          <w:tcPr>
            <w:tcW w:w="1474" w:type="dxa"/>
            <w:vAlign w:val="center"/>
          </w:tcPr>
          <w:p>
            <w:pPr>
              <w:pStyle w:val="123"/>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262.11</w:t>
            </w:r>
          </w:p>
        </w:tc>
        <w:tc>
          <w:tcPr>
            <w:tcW w:w="1474" w:type="dxa"/>
            <w:vAlign w:val="center"/>
          </w:tcPr>
          <w:p>
            <w:pPr>
              <w:pStyle w:val="123"/>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60.14</w:t>
            </w:r>
          </w:p>
        </w:tc>
        <w:tc>
          <w:tcPr>
            <w:tcW w:w="1474" w:type="dxa"/>
            <w:vAlign w:val="center"/>
          </w:tcPr>
          <w:p>
            <w:pPr>
              <w:pStyle w:val="123"/>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234.78</w:t>
            </w:r>
          </w:p>
        </w:tc>
        <w:tc>
          <w:tcPr>
            <w:tcW w:w="1474" w:type="dxa"/>
            <w:vAlign w:val="center"/>
          </w:tcPr>
          <w:p>
            <w:pPr>
              <w:pStyle w:val="123"/>
              <w:spacing w:before="108" w:after="108" w:line="252" w:lineRule="auto"/>
              <w:jc w:val="center"/>
              <w:rPr>
                <w:rFonts w:ascii="Times New Roman" w:hAnsi="Times New Roman" w:cs="Times New Roman"/>
                <w:color w:val="000000"/>
                <w:lang w:eastAsia="zh-CN"/>
              </w:rPr>
            </w:pPr>
            <w:r>
              <w:rPr>
                <w:rFonts w:ascii="Times New Roman" w:hAnsi="Times New Roman" w:cs="Times New Roman"/>
                <w:color w:val="000000"/>
                <w:lang w:eastAsia="zh-CN"/>
              </w:rPr>
              <w:t>524.57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50" w:type="dxa"/>
            <w:vMerge w:val="continue"/>
            <w:shd w:val="clear" w:color="auto" w:fill="D7D7D7" w:themeFill="background1" w:themeFillShade="D8"/>
          </w:tcPr>
          <w:p>
            <w:pPr>
              <w:pStyle w:val="123"/>
              <w:spacing w:before="108" w:after="108" w:line="252" w:lineRule="auto"/>
              <w:rPr>
                <w:rFonts w:ascii="Times New Roman" w:hAnsi="Times New Roman" w:cs="Times New Roman"/>
                <w:b/>
                <w:bCs/>
                <w:color w:val="000000"/>
                <w:lang w:eastAsia="ja-JP"/>
              </w:rPr>
            </w:pPr>
          </w:p>
        </w:tc>
        <w:tc>
          <w:tcPr>
            <w:tcW w:w="1984" w:type="dxa"/>
            <w:shd w:val="clear" w:color="auto" w:fill="D7D7D7" w:themeFill="background1" w:themeFillShade="D8"/>
          </w:tcPr>
          <w:p>
            <w:pPr>
              <w:pStyle w:val="123"/>
              <w:tabs>
                <w:tab w:val="right" w:pos="1938"/>
              </w:tabs>
              <w:spacing w:before="108" w:after="108" w:line="252" w:lineRule="auto"/>
              <w:rPr>
                <w:rFonts w:ascii="Times New Roman" w:hAnsi="Times New Roman" w:eastAsia="宋体" w:cs="Times New Roman"/>
                <w:b/>
                <w:bCs/>
                <w:color w:val="000000"/>
                <w:lang w:eastAsia="zh-CN"/>
              </w:rPr>
            </w:pPr>
            <w:r>
              <w:rPr>
                <w:rFonts w:ascii="Times New Roman" w:hAnsi="Times New Roman" w:eastAsia="宋体" w:cs="Times New Roman"/>
                <w:b/>
                <w:bCs/>
                <w:color w:val="000000"/>
                <w:lang w:eastAsia="zh-CN"/>
              </w:rPr>
              <w:t>1</w:t>
            </w:r>
            <w:r>
              <w:rPr>
                <w:rFonts w:hint="eastAsia" w:ascii="Times New Roman" w:hAnsi="Times New Roman" w:eastAsia="宋体" w:cs="Times New Roman"/>
                <w:b/>
                <w:bCs/>
                <w:color w:val="000000"/>
                <w:lang w:eastAsia="zh-CN"/>
              </w:rPr>
              <w:t xml:space="preserve"> </w:t>
            </w:r>
            <w:r>
              <w:rPr>
                <w:rFonts w:ascii="Times New Roman" w:hAnsi="Times New Roman" w:eastAsia="宋体" w:cs="Times New Roman"/>
                <w:b/>
                <w:bCs/>
                <w:color w:val="000000"/>
                <w:lang w:eastAsia="zh-CN"/>
              </w:rPr>
              <w:t xml:space="preserve">CW SDM </w:t>
            </w:r>
            <w:r>
              <w:rPr>
                <w:rFonts w:hint="eastAsia" w:ascii="Times New Roman" w:hAnsi="Times New Roman" w:eastAsia="宋体" w:cs="Times New Roman"/>
                <w:b/>
                <w:bCs/>
                <w:color w:val="000000"/>
                <w:lang w:eastAsia="zh-CN"/>
              </w:rPr>
              <w:t>STxMP</w:t>
            </w:r>
          </w:p>
        </w:tc>
        <w:tc>
          <w:tcPr>
            <w:tcW w:w="1474" w:type="dxa"/>
            <w:vAlign w:val="center"/>
          </w:tcPr>
          <w:p>
            <w:pPr>
              <w:pStyle w:val="25"/>
              <w:spacing w:before="108" w:after="108"/>
              <w:jc w:val="center"/>
              <w:rPr>
                <w:rFonts w:ascii="Times New Roman" w:hAnsi="Times New Roman" w:eastAsia="宋体" w:cs="Times New Roman"/>
                <w:sz w:val="18"/>
                <w:szCs w:val="18"/>
              </w:rPr>
            </w:pPr>
            <w:r>
              <w:rPr>
                <w:rFonts w:ascii="Times New Roman" w:hAnsi="Times New Roman" w:eastAsia="宋体" w:cs="Times New Roman"/>
                <w:color w:val="000000"/>
                <w:sz w:val="18"/>
                <w:szCs w:val="18"/>
              </w:rPr>
              <w:t>273.48</w:t>
            </w:r>
          </w:p>
          <w:p>
            <w:pPr>
              <w:pStyle w:val="25"/>
              <w:spacing w:before="108" w:after="108"/>
              <w:jc w:val="center"/>
              <w:rPr>
                <w:rFonts w:ascii="Times New Roman" w:hAnsi="Times New Roman" w:cs="Times New Roman"/>
                <w:color w:val="000000"/>
                <w:sz w:val="18"/>
                <w:szCs w:val="18"/>
              </w:rPr>
            </w:pPr>
            <w:r>
              <w:rPr>
                <w:rFonts w:ascii="Times New Roman" w:hAnsi="Times New Roman" w:eastAsia="宋体" w:cs="Times New Roman"/>
                <w:b/>
                <w:bCs/>
                <w:color w:val="000000"/>
                <w:sz w:val="18"/>
                <w:szCs w:val="18"/>
              </w:rPr>
              <w:t>4</w:t>
            </w:r>
            <w:r>
              <w:rPr>
                <w:rFonts w:ascii="Times New Roman" w:hAnsi="Times New Roman" w:cs="Times New Roman"/>
                <w:b/>
                <w:bCs/>
                <w:color w:val="000000"/>
                <w:sz w:val="18"/>
                <w:szCs w:val="18"/>
              </w:rPr>
              <w:t>.3% </w:t>
            </w:r>
            <w:r>
              <w:rPr>
                <w:rFonts w:ascii="Times New Roman" w:hAnsi="Times New Roman" w:cs="Times New Roman"/>
                <w:b/>
                <w:bCs/>
                <w:color w:val="00B050"/>
                <w:sz w:val="18"/>
                <w:szCs w:val="18"/>
              </w:rPr>
              <w:t>(↑)</w:t>
            </w:r>
          </w:p>
        </w:tc>
        <w:tc>
          <w:tcPr>
            <w:tcW w:w="1474" w:type="dxa"/>
            <w:vAlign w:val="center"/>
          </w:tcPr>
          <w:p>
            <w:pPr>
              <w:pStyle w:val="25"/>
              <w:spacing w:before="108" w:after="108"/>
              <w:jc w:val="center"/>
              <w:rPr>
                <w:rFonts w:ascii="Times New Roman" w:hAnsi="Times New Roman" w:eastAsia="宋体" w:cs="Times New Roman"/>
                <w:sz w:val="18"/>
                <w:szCs w:val="18"/>
              </w:rPr>
            </w:pPr>
            <w:r>
              <w:rPr>
                <w:rFonts w:ascii="Times New Roman" w:hAnsi="Times New Roman" w:eastAsia="宋体" w:cs="Times New Roman"/>
                <w:sz w:val="18"/>
                <w:szCs w:val="18"/>
              </w:rPr>
              <w:t>57.96</w:t>
            </w:r>
          </w:p>
          <w:p>
            <w:pPr>
              <w:pStyle w:val="25"/>
              <w:spacing w:before="108" w:after="108"/>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w:t>
            </w:r>
            <w:r>
              <w:rPr>
                <w:rFonts w:ascii="Times New Roman" w:hAnsi="Times New Roman" w:eastAsia="宋体" w:cs="Times New Roman"/>
                <w:b/>
                <w:bCs/>
                <w:color w:val="000000"/>
                <w:sz w:val="18"/>
                <w:szCs w:val="18"/>
              </w:rPr>
              <w:t>3.6</w:t>
            </w:r>
            <w:r>
              <w:rPr>
                <w:rFonts w:ascii="Times New Roman" w:hAnsi="Times New Roman" w:cs="Times New Roman"/>
                <w:b/>
                <w:bCs/>
                <w:color w:val="000000"/>
                <w:sz w:val="18"/>
                <w:szCs w:val="18"/>
              </w:rPr>
              <w:t>% </w:t>
            </w:r>
            <w:r>
              <w:rPr>
                <w:rFonts w:ascii="Times New Roman" w:hAnsi="Times New Roman" w:cs="Times New Roman"/>
                <w:b/>
                <w:bCs/>
                <w:color w:val="FF0000"/>
                <w:sz w:val="18"/>
                <w:szCs w:val="18"/>
              </w:rPr>
              <w:t>(↓)</w:t>
            </w:r>
          </w:p>
        </w:tc>
        <w:tc>
          <w:tcPr>
            <w:tcW w:w="1474" w:type="dxa"/>
            <w:vAlign w:val="center"/>
          </w:tcPr>
          <w:p>
            <w:pPr>
              <w:pStyle w:val="25"/>
              <w:spacing w:before="108" w:after="108"/>
              <w:jc w:val="center"/>
              <w:rPr>
                <w:rFonts w:ascii="Times New Roman" w:hAnsi="Times New Roman" w:eastAsia="宋体" w:cs="Times New Roman"/>
                <w:sz w:val="18"/>
                <w:szCs w:val="18"/>
              </w:rPr>
            </w:pPr>
            <w:r>
              <w:rPr>
                <w:rFonts w:ascii="Times New Roman" w:hAnsi="Times New Roman" w:eastAsia="宋体" w:cs="Times New Roman"/>
                <w:color w:val="000000"/>
                <w:sz w:val="18"/>
                <w:szCs w:val="18"/>
              </w:rPr>
              <w:t>237.31</w:t>
            </w:r>
          </w:p>
          <w:p>
            <w:pPr>
              <w:pStyle w:val="25"/>
              <w:spacing w:before="108" w:after="108"/>
              <w:jc w:val="center"/>
              <w:rPr>
                <w:rFonts w:ascii="Times New Roman" w:hAnsi="Times New Roman" w:cs="Times New Roman"/>
                <w:color w:val="000000"/>
                <w:sz w:val="18"/>
                <w:szCs w:val="18"/>
              </w:rPr>
            </w:pPr>
            <w:r>
              <w:rPr>
                <w:rFonts w:ascii="Times New Roman" w:hAnsi="Times New Roman" w:eastAsia="宋体" w:cs="Times New Roman"/>
                <w:b/>
                <w:bCs/>
                <w:color w:val="000000"/>
                <w:sz w:val="18"/>
                <w:szCs w:val="18"/>
              </w:rPr>
              <w:t>1.1</w:t>
            </w:r>
            <w:r>
              <w:rPr>
                <w:rFonts w:ascii="Times New Roman" w:hAnsi="Times New Roman" w:cs="Times New Roman"/>
                <w:b/>
                <w:bCs/>
                <w:color w:val="000000"/>
                <w:sz w:val="18"/>
                <w:szCs w:val="18"/>
              </w:rPr>
              <w:t>%</w:t>
            </w:r>
            <w:r>
              <w:rPr>
                <w:rFonts w:ascii="Times New Roman" w:hAnsi="Times New Roman" w:cs="Times New Roman"/>
                <w:b/>
                <w:bCs/>
                <w:color w:val="00B050"/>
                <w:sz w:val="18"/>
                <w:szCs w:val="18"/>
              </w:rPr>
              <w:t> (↑)</w:t>
            </w:r>
          </w:p>
        </w:tc>
        <w:tc>
          <w:tcPr>
            <w:tcW w:w="1474" w:type="dxa"/>
            <w:vAlign w:val="center"/>
          </w:tcPr>
          <w:p>
            <w:pPr>
              <w:pStyle w:val="25"/>
              <w:spacing w:before="108" w:after="108"/>
              <w:jc w:val="center"/>
              <w:rPr>
                <w:rFonts w:ascii="Times New Roman" w:hAnsi="Times New Roman" w:eastAsia="宋体" w:cs="Times New Roman"/>
                <w:sz w:val="18"/>
                <w:szCs w:val="18"/>
              </w:rPr>
            </w:pPr>
            <w:r>
              <w:rPr>
                <w:rFonts w:ascii="Times New Roman" w:hAnsi="Times New Roman" w:eastAsia="宋体" w:cs="Times New Roman"/>
                <w:sz w:val="18"/>
                <w:szCs w:val="18"/>
              </w:rPr>
              <w:t>539.37</w:t>
            </w:r>
          </w:p>
          <w:p>
            <w:pPr>
              <w:pStyle w:val="25"/>
              <w:spacing w:before="108" w:after="108"/>
              <w:jc w:val="center"/>
              <w:rPr>
                <w:rFonts w:ascii="Times New Roman" w:hAnsi="Times New Roman" w:cs="Times New Roman"/>
                <w:color w:val="000000"/>
                <w:sz w:val="18"/>
                <w:szCs w:val="18"/>
              </w:rPr>
            </w:pPr>
            <w:r>
              <w:rPr>
                <w:rFonts w:ascii="Times New Roman" w:hAnsi="Times New Roman" w:eastAsia="宋体" w:cs="Times New Roman"/>
                <w:b/>
                <w:bCs/>
                <w:color w:val="000000"/>
                <w:sz w:val="18"/>
                <w:szCs w:val="18"/>
              </w:rPr>
              <w:t>2.8</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50" w:type="dxa"/>
            <w:vMerge w:val="continue"/>
            <w:shd w:val="clear" w:color="auto" w:fill="D7D7D7" w:themeFill="background1" w:themeFillShade="D8"/>
          </w:tcPr>
          <w:p>
            <w:pPr>
              <w:pStyle w:val="123"/>
              <w:spacing w:before="108" w:after="108" w:line="252" w:lineRule="auto"/>
              <w:rPr>
                <w:rFonts w:ascii="Times New Roman" w:hAnsi="Times New Roman" w:cs="Times New Roman"/>
                <w:b/>
                <w:bCs/>
                <w:color w:val="000000"/>
                <w:lang w:eastAsia="ja-JP"/>
              </w:rPr>
            </w:pPr>
          </w:p>
        </w:tc>
        <w:tc>
          <w:tcPr>
            <w:tcW w:w="1984" w:type="dxa"/>
            <w:shd w:val="clear" w:color="auto" w:fill="D7D7D7" w:themeFill="background1" w:themeFillShade="D8"/>
          </w:tcPr>
          <w:p>
            <w:pPr>
              <w:pStyle w:val="123"/>
              <w:spacing w:before="108" w:after="108" w:line="252" w:lineRule="auto"/>
              <w:rPr>
                <w:rFonts w:ascii="Times New Roman" w:hAnsi="Times New Roman" w:eastAsia="宋体" w:cs="Times New Roman"/>
                <w:b/>
                <w:bCs/>
                <w:color w:val="000000"/>
                <w:lang w:eastAsia="zh-CN"/>
              </w:rPr>
            </w:pPr>
            <w:r>
              <w:rPr>
                <w:rFonts w:ascii="Times New Roman" w:hAnsi="Times New Roman" w:eastAsia="宋体" w:cs="Times New Roman"/>
                <w:b/>
                <w:bCs/>
                <w:color w:val="000000"/>
                <w:lang w:eastAsia="zh-CN"/>
              </w:rPr>
              <w:t>2</w:t>
            </w:r>
            <w:r>
              <w:rPr>
                <w:rFonts w:hint="eastAsia" w:ascii="Times New Roman" w:hAnsi="Times New Roman" w:eastAsia="宋体" w:cs="Times New Roman"/>
                <w:b/>
                <w:bCs/>
                <w:color w:val="000000"/>
                <w:lang w:eastAsia="zh-CN"/>
              </w:rPr>
              <w:t xml:space="preserve"> </w:t>
            </w:r>
            <w:r>
              <w:rPr>
                <w:rFonts w:ascii="Times New Roman" w:hAnsi="Times New Roman" w:eastAsia="宋体" w:cs="Times New Roman"/>
                <w:b/>
                <w:bCs/>
                <w:color w:val="000000"/>
                <w:lang w:eastAsia="zh-CN"/>
              </w:rPr>
              <w:t>CW</w:t>
            </w:r>
            <w:r>
              <w:rPr>
                <w:rFonts w:hint="eastAsia" w:ascii="Times New Roman" w:hAnsi="Times New Roman" w:eastAsia="宋体" w:cs="Times New Roman"/>
                <w:b/>
                <w:bCs/>
                <w:color w:val="000000"/>
                <w:lang w:eastAsia="zh-CN"/>
              </w:rPr>
              <w:t>s</w:t>
            </w:r>
            <w:r>
              <w:rPr>
                <w:rFonts w:ascii="Times New Roman" w:hAnsi="Times New Roman" w:eastAsia="宋体" w:cs="Times New Roman"/>
                <w:b/>
                <w:bCs/>
                <w:color w:val="000000"/>
                <w:lang w:eastAsia="zh-CN"/>
              </w:rPr>
              <w:t xml:space="preserve"> SDM </w:t>
            </w:r>
            <w:r>
              <w:rPr>
                <w:rFonts w:hint="eastAsia" w:ascii="Times New Roman" w:hAnsi="Times New Roman" w:eastAsia="宋体" w:cs="Times New Roman"/>
                <w:b/>
                <w:bCs/>
                <w:color w:val="000000"/>
                <w:lang w:eastAsia="zh-CN"/>
              </w:rPr>
              <w:t>STxMP</w:t>
            </w:r>
          </w:p>
        </w:tc>
        <w:tc>
          <w:tcPr>
            <w:tcW w:w="1474" w:type="dxa"/>
            <w:vAlign w:val="center"/>
          </w:tcPr>
          <w:p>
            <w:pPr>
              <w:pStyle w:val="25"/>
              <w:spacing w:before="108" w:after="108"/>
              <w:jc w:val="center"/>
              <w:rPr>
                <w:rFonts w:ascii="Times New Roman" w:hAnsi="Times New Roman" w:eastAsia="宋体" w:cs="Times New Roman"/>
                <w:sz w:val="18"/>
                <w:szCs w:val="18"/>
              </w:rPr>
            </w:pPr>
            <w:r>
              <w:rPr>
                <w:rFonts w:ascii="Times New Roman" w:hAnsi="Times New Roman" w:eastAsia="宋体" w:cs="Times New Roman"/>
                <w:color w:val="000000"/>
                <w:sz w:val="18"/>
                <w:szCs w:val="18"/>
              </w:rPr>
              <w:t>290.84</w:t>
            </w:r>
          </w:p>
          <w:p>
            <w:pPr>
              <w:pStyle w:val="25"/>
              <w:spacing w:before="108" w:after="108"/>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1</w:t>
            </w:r>
            <w:r>
              <w:rPr>
                <w:rFonts w:ascii="Times New Roman" w:hAnsi="Times New Roman" w:eastAsia="宋体" w:cs="Times New Roman"/>
                <w:b/>
                <w:bCs/>
                <w:color w:val="000000"/>
                <w:sz w:val="18"/>
                <w:szCs w:val="18"/>
              </w:rPr>
              <w:t>1.0</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c>
          <w:tcPr>
            <w:tcW w:w="1474" w:type="dxa"/>
            <w:vAlign w:val="center"/>
          </w:tcPr>
          <w:p>
            <w:pPr>
              <w:pStyle w:val="25"/>
              <w:spacing w:before="108" w:after="108"/>
              <w:jc w:val="center"/>
              <w:rPr>
                <w:rFonts w:ascii="Times New Roman" w:hAnsi="Times New Roman" w:eastAsia="宋体" w:cs="Times New Roman"/>
                <w:sz w:val="18"/>
                <w:szCs w:val="18"/>
              </w:rPr>
            </w:pPr>
            <w:r>
              <w:rPr>
                <w:rFonts w:ascii="Times New Roman" w:hAnsi="Times New Roman" w:eastAsia="宋体" w:cs="Times New Roman"/>
                <w:color w:val="000000"/>
                <w:sz w:val="18"/>
                <w:szCs w:val="18"/>
              </w:rPr>
              <w:t>68.25</w:t>
            </w:r>
          </w:p>
          <w:p>
            <w:pPr>
              <w:pStyle w:val="25"/>
              <w:spacing w:before="108" w:after="108"/>
              <w:jc w:val="center"/>
              <w:rPr>
                <w:rFonts w:ascii="Times New Roman" w:hAnsi="Times New Roman" w:cs="Times New Roman"/>
                <w:color w:val="000000"/>
                <w:sz w:val="18"/>
                <w:szCs w:val="18"/>
              </w:rPr>
            </w:pPr>
            <w:r>
              <w:rPr>
                <w:rFonts w:ascii="Times New Roman" w:hAnsi="Times New Roman" w:eastAsia="宋体" w:cs="Times New Roman"/>
                <w:b/>
                <w:bCs/>
                <w:color w:val="000000"/>
                <w:sz w:val="18"/>
                <w:szCs w:val="18"/>
              </w:rPr>
              <w:t>13.5</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c>
          <w:tcPr>
            <w:tcW w:w="1474" w:type="dxa"/>
            <w:vAlign w:val="center"/>
          </w:tcPr>
          <w:p>
            <w:pPr>
              <w:pStyle w:val="25"/>
              <w:spacing w:before="108" w:after="108"/>
              <w:jc w:val="center"/>
              <w:rPr>
                <w:rFonts w:ascii="Times New Roman" w:hAnsi="Times New Roman" w:eastAsia="宋体" w:cs="Times New Roman"/>
                <w:sz w:val="18"/>
                <w:szCs w:val="18"/>
              </w:rPr>
            </w:pPr>
            <w:r>
              <w:rPr>
                <w:rFonts w:ascii="Times New Roman" w:hAnsi="Times New Roman" w:eastAsia="宋体" w:cs="Times New Roman"/>
                <w:color w:val="000000"/>
                <w:sz w:val="18"/>
                <w:szCs w:val="18"/>
              </w:rPr>
              <w:t>253.33</w:t>
            </w:r>
          </w:p>
          <w:p>
            <w:pPr>
              <w:pStyle w:val="25"/>
              <w:spacing w:before="108" w:after="108"/>
              <w:jc w:val="center"/>
              <w:rPr>
                <w:rFonts w:ascii="Times New Roman" w:hAnsi="Times New Roman" w:cs="Times New Roman"/>
                <w:color w:val="000000"/>
                <w:sz w:val="18"/>
                <w:szCs w:val="18"/>
              </w:rPr>
            </w:pPr>
            <w:r>
              <w:rPr>
                <w:rFonts w:ascii="Times New Roman" w:hAnsi="Times New Roman" w:eastAsia="宋体" w:cs="Times New Roman"/>
                <w:b/>
                <w:bCs/>
                <w:color w:val="000000"/>
                <w:sz w:val="18"/>
                <w:szCs w:val="18"/>
              </w:rPr>
              <w:t>7.9</w:t>
            </w:r>
            <w:r>
              <w:rPr>
                <w:rFonts w:ascii="Times New Roman" w:hAnsi="Times New Roman" w:cs="Times New Roman"/>
                <w:b/>
                <w:bCs/>
                <w:color w:val="000000"/>
                <w:sz w:val="18"/>
                <w:szCs w:val="18"/>
              </w:rPr>
              <w:t>%</w:t>
            </w:r>
            <w:r>
              <w:rPr>
                <w:rFonts w:ascii="Times New Roman" w:hAnsi="Times New Roman" w:cs="Times New Roman"/>
                <w:b/>
                <w:bCs/>
                <w:color w:val="00B050"/>
                <w:sz w:val="18"/>
                <w:szCs w:val="18"/>
              </w:rPr>
              <w:t> (↑)</w:t>
            </w:r>
          </w:p>
        </w:tc>
        <w:tc>
          <w:tcPr>
            <w:tcW w:w="1474" w:type="dxa"/>
            <w:vAlign w:val="center"/>
          </w:tcPr>
          <w:p>
            <w:pPr>
              <w:pStyle w:val="25"/>
              <w:spacing w:before="108" w:after="108"/>
              <w:jc w:val="center"/>
              <w:rPr>
                <w:rFonts w:ascii="Times New Roman" w:hAnsi="Times New Roman" w:eastAsia="宋体" w:cs="Times New Roman"/>
                <w:sz w:val="18"/>
                <w:szCs w:val="18"/>
              </w:rPr>
            </w:pPr>
            <w:r>
              <w:rPr>
                <w:rFonts w:ascii="Times New Roman" w:hAnsi="Times New Roman" w:eastAsia="宋体" w:cs="Times New Roman"/>
                <w:color w:val="000000"/>
                <w:sz w:val="18"/>
                <w:szCs w:val="18"/>
              </w:rPr>
              <w:t>591.31</w:t>
            </w:r>
          </w:p>
          <w:p>
            <w:pPr>
              <w:pStyle w:val="25"/>
              <w:spacing w:before="108" w:after="108"/>
              <w:jc w:val="center"/>
              <w:rPr>
                <w:rFonts w:ascii="Times New Roman" w:hAnsi="Times New Roman" w:cs="Times New Roman"/>
                <w:color w:val="000000"/>
                <w:sz w:val="18"/>
                <w:szCs w:val="18"/>
              </w:rPr>
            </w:pPr>
            <w:r>
              <w:rPr>
                <w:rFonts w:ascii="Times New Roman" w:hAnsi="Times New Roman" w:eastAsia="宋体" w:cs="Times New Roman"/>
                <w:b/>
                <w:bCs/>
                <w:color w:val="000000"/>
                <w:sz w:val="18"/>
                <w:szCs w:val="18"/>
              </w:rPr>
              <w:t>12.7</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30" w:type="dxa"/>
            <w:gridSpan w:val="6"/>
            <w:shd w:val="clear" w:color="auto" w:fill="auto"/>
          </w:tcPr>
          <w:p>
            <w:pPr>
              <w:pStyle w:val="123"/>
              <w:spacing w:before="0" w:beforeLines="0" w:afterLines="0"/>
              <w:rPr>
                <w:rFonts w:ascii="Times New Roman" w:hAnsi="Times New Roman" w:eastAsia="宋体" w:cs="Times New Roman"/>
                <w:b/>
                <w:bCs/>
                <w:color w:val="000000"/>
                <w:sz w:val="13"/>
                <w:szCs w:val="13"/>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50" w:type="dxa"/>
            <w:vMerge w:val="restart"/>
            <w:shd w:val="clear" w:color="auto" w:fill="D7D7D7" w:themeFill="background1" w:themeFillShade="D8"/>
          </w:tcPr>
          <w:p>
            <w:pPr>
              <w:pStyle w:val="123"/>
              <w:spacing w:before="108" w:after="108" w:line="252" w:lineRule="auto"/>
              <w:rPr>
                <w:rFonts w:ascii="Times New Roman" w:hAnsi="Times New Roman" w:cs="Times New Roman"/>
                <w:b/>
                <w:bCs/>
                <w:color w:val="000000"/>
                <w:lang w:eastAsia="ja-JP"/>
              </w:rPr>
            </w:pPr>
            <w:r>
              <w:rPr>
                <w:rFonts w:ascii="Times New Roman" w:hAnsi="Times New Roman" w:eastAsia="宋体" w:cs="Times New Roman"/>
                <w:b/>
                <w:bCs/>
                <w:color w:val="000000"/>
                <w:lang w:eastAsia="zh-CN"/>
              </w:rPr>
              <w:t>~</w:t>
            </w:r>
            <w:r>
              <w:rPr>
                <w:rFonts w:hint="eastAsia" w:ascii="Times New Roman" w:hAnsi="Times New Roman" w:eastAsia="宋体" w:cs="Times New Roman"/>
                <w:b/>
                <w:bCs/>
                <w:color w:val="000000"/>
                <w:lang w:eastAsia="zh-CN"/>
              </w:rPr>
              <w:t xml:space="preserve"> 80</w:t>
            </w:r>
            <w:r>
              <w:rPr>
                <w:rFonts w:ascii="Times New Roman" w:hAnsi="Times New Roman" w:eastAsia="宋体" w:cs="Times New Roman"/>
                <w:b/>
                <w:bCs/>
                <w:color w:val="000000"/>
                <w:lang w:eastAsia="zh-CN"/>
              </w:rPr>
              <w:t>%</w:t>
            </w:r>
          </w:p>
          <w:p>
            <w:pPr>
              <w:pStyle w:val="123"/>
              <w:spacing w:before="108" w:after="108" w:line="252" w:lineRule="auto"/>
              <w:rPr>
                <w:rFonts w:ascii="Times New Roman" w:hAnsi="Times New Roman" w:cs="Times New Roman"/>
                <w:b/>
                <w:bCs/>
                <w:color w:val="000000"/>
                <w:lang w:eastAsia="ja-JP"/>
              </w:rPr>
            </w:pPr>
          </w:p>
          <w:p>
            <w:pPr>
              <w:pStyle w:val="123"/>
              <w:spacing w:before="108" w:after="108" w:line="252" w:lineRule="auto"/>
              <w:rPr>
                <w:rFonts w:ascii="Times New Roman" w:hAnsi="Times New Roman" w:cs="Times New Roman"/>
                <w:b/>
                <w:bCs/>
                <w:color w:val="000000"/>
                <w:lang w:eastAsia="ja-JP"/>
              </w:rPr>
            </w:pPr>
          </w:p>
        </w:tc>
        <w:tc>
          <w:tcPr>
            <w:tcW w:w="1984" w:type="dxa"/>
            <w:shd w:val="clear" w:color="auto" w:fill="D7D7D7" w:themeFill="background1" w:themeFillShade="D8"/>
          </w:tcPr>
          <w:p>
            <w:pPr>
              <w:pStyle w:val="123"/>
              <w:spacing w:before="108" w:after="108" w:line="252" w:lineRule="auto"/>
              <w:jc w:val="left"/>
              <w:rPr>
                <w:rFonts w:ascii="Times New Roman" w:hAnsi="Times New Roman" w:eastAsia="宋体" w:cs="Times New Roman"/>
                <w:b/>
                <w:bCs/>
                <w:color w:val="000000"/>
                <w:lang w:eastAsia="zh-CN"/>
              </w:rPr>
            </w:pPr>
            <w:r>
              <w:rPr>
                <w:rFonts w:hint="eastAsia" w:ascii="Times New Roman" w:hAnsi="Times New Roman" w:eastAsia="宋体" w:cs="Times New Roman"/>
                <w:b/>
                <w:bCs/>
                <w:color w:val="000000"/>
                <w:lang w:eastAsia="zh-CN"/>
              </w:rPr>
              <w:t>Single panel with panel selection</w:t>
            </w:r>
          </w:p>
        </w:tc>
        <w:tc>
          <w:tcPr>
            <w:tcW w:w="1474" w:type="dxa"/>
            <w:vAlign w:val="center"/>
          </w:tcPr>
          <w:p>
            <w:pPr>
              <w:pStyle w:val="123"/>
              <w:spacing w:before="108" w:after="108" w:line="252" w:lineRule="auto"/>
              <w:jc w:val="center"/>
              <w:rPr>
                <w:rFonts w:ascii="Times New Roman" w:hAnsi="Times New Roman" w:cs="Times New Roman"/>
                <w:color w:val="000000"/>
                <w:lang w:eastAsia="zh-CN"/>
              </w:rPr>
            </w:pPr>
            <w:r>
              <w:rPr>
                <w:rFonts w:hint="eastAsia" w:ascii="Times New Roman" w:hAnsi="Times New Roman" w:cs="Times New Roman"/>
                <w:color w:val="000000"/>
                <w:lang w:eastAsia="zh-CN"/>
              </w:rPr>
              <w:t>121.06</w:t>
            </w:r>
          </w:p>
        </w:tc>
        <w:tc>
          <w:tcPr>
            <w:tcW w:w="1474" w:type="dxa"/>
            <w:vAlign w:val="center"/>
          </w:tcPr>
          <w:p>
            <w:pPr>
              <w:pStyle w:val="123"/>
              <w:spacing w:before="108" w:after="108" w:line="252" w:lineRule="auto"/>
              <w:jc w:val="center"/>
              <w:rPr>
                <w:rFonts w:ascii="Times New Roman" w:hAnsi="Times New Roman" w:cs="Times New Roman"/>
                <w:color w:val="000000"/>
                <w:lang w:eastAsia="zh-CN"/>
              </w:rPr>
            </w:pPr>
            <w:r>
              <w:rPr>
                <w:rFonts w:hint="eastAsia" w:ascii="Times New Roman" w:hAnsi="Times New Roman" w:cs="Times New Roman"/>
                <w:color w:val="000000"/>
                <w:lang w:eastAsia="zh-CN"/>
              </w:rPr>
              <w:t>20.09</w:t>
            </w:r>
          </w:p>
        </w:tc>
        <w:tc>
          <w:tcPr>
            <w:tcW w:w="1474" w:type="dxa"/>
            <w:vAlign w:val="center"/>
          </w:tcPr>
          <w:p>
            <w:pPr>
              <w:pStyle w:val="123"/>
              <w:spacing w:before="108" w:after="108" w:line="252" w:lineRule="auto"/>
              <w:jc w:val="center"/>
              <w:rPr>
                <w:rFonts w:ascii="Times New Roman" w:hAnsi="Times New Roman" w:cs="Times New Roman"/>
                <w:color w:val="000000"/>
                <w:lang w:eastAsia="zh-CN"/>
              </w:rPr>
            </w:pPr>
            <w:r>
              <w:rPr>
                <w:rFonts w:hint="eastAsia" w:ascii="Times New Roman" w:hAnsi="Times New Roman" w:cs="Times New Roman"/>
                <w:color w:val="000000"/>
                <w:lang w:eastAsia="zh-CN"/>
              </w:rPr>
              <w:t>72.99</w:t>
            </w:r>
          </w:p>
        </w:tc>
        <w:tc>
          <w:tcPr>
            <w:tcW w:w="1474" w:type="dxa"/>
            <w:vAlign w:val="center"/>
          </w:tcPr>
          <w:p>
            <w:pPr>
              <w:pStyle w:val="123"/>
              <w:spacing w:before="108" w:after="108" w:line="252" w:lineRule="auto"/>
              <w:jc w:val="center"/>
              <w:rPr>
                <w:rFonts w:ascii="Times New Roman" w:hAnsi="Times New Roman" w:cs="Times New Roman"/>
                <w:color w:val="000000"/>
                <w:lang w:eastAsia="zh-CN"/>
              </w:rPr>
            </w:pPr>
            <w:r>
              <w:rPr>
                <w:rFonts w:hint="eastAsia" w:ascii="Times New Roman" w:hAnsi="Times New Roman" w:cs="Times New Roman"/>
                <w:color w:val="000000"/>
                <w:lang w:eastAsia="zh-CN"/>
              </w:rPr>
              <w:t>416.95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50" w:type="dxa"/>
            <w:vMerge w:val="continue"/>
            <w:shd w:val="clear" w:color="auto" w:fill="D7D7D7" w:themeFill="background1" w:themeFillShade="D8"/>
          </w:tcPr>
          <w:p>
            <w:pPr>
              <w:pStyle w:val="123"/>
              <w:spacing w:before="108" w:after="108" w:line="252" w:lineRule="auto"/>
              <w:rPr>
                <w:rFonts w:ascii="Times New Roman" w:hAnsi="Times New Roman" w:cs="Times New Roman"/>
                <w:b/>
                <w:bCs/>
                <w:color w:val="000000"/>
                <w:lang w:eastAsia="ja-JP"/>
              </w:rPr>
            </w:pPr>
          </w:p>
        </w:tc>
        <w:tc>
          <w:tcPr>
            <w:tcW w:w="1984" w:type="dxa"/>
            <w:shd w:val="clear" w:color="auto" w:fill="D7D7D7" w:themeFill="background1" w:themeFillShade="D8"/>
          </w:tcPr>
          <w:p>
            <w:pPr>
              <w:pStyle w:val="123"/>
              <w:tabs>
                <w:tab w:val="right" w:pos="1938"/>
              </w:tabs>
              <w:spacing w:before="108" w:after="108" w:line="252" w:lineRule="auto"/>
              <w:rPr>
                <w:rFonts w:ascii="Times New Roman" w:hAnsi="Times New Roman" w:eastAsia="宋体" w:cs="Times New Roman"/>
                <w:b/>
                <w:bCs/>
                <w:color w:val="000000"/>
                <w:lang w:eastAsia="zh-CN"/>
              </w:rPr>
            </w:pPr>
            <w:r>
              <w:rPr>
                <w:rFonts w:ascii="Times New Roman" w:hAnsi="Times New Roman" w:eastAsia="宋体" w:cs="Times New Roman"/>
                <w:b/>
                <w:bCs/>
                <w:color w:val="000000"/>
                <w:lang w:eastAsia="zh-CN"/>
              </w:rPr>
              <w:t>1</w:t>
            </w:r>
            <w:r>
              <w:rPr>
                <w:rFonts w:hint="eastAsia" w:ascii="Times New Roman" w:hAnsi="Times New Roman" w:eastAsia="宋体" w:cs="Times New Roman"/>
                <w:b/>
                <w:bCs/>
                <w:color w:val="000000"/>
                <w:lang w:eastAsia="zh-CN"/>
              </w:rPr>
              <w:t xml:space="preserve"> </w:t>
            </w:r>
            <w:r>
              <w:rPr>
                <w:rFonts w:ascii="Times New Roman" w:hAnsi="Times New Roman" w:eastAsia="宋体" w:cs="Times New Roman"/>
                <w:b/>
                <w:bCs/>
                <w:color w:val="000000"/>
                <w:lang w:eastAsia="zh-CN"/>
              </w:rPr>
              <w:t xml:space="preserve">CW SDM </w:t>
            </w:r>
            <w:r>
              <w:rPr>
                <w:rFonts w:hint="eastAsia" w:ascii="Times New Roman" w:hAnsi="Times New Roman" w:eastAsia="宋体" w:cs="Times New Roman"/>
                <w:b/>
                <w:bCs/>
                <w:color w:val="000000"/>
                <w:lang w:eastAsia="zh-CN"/>
              </w:rPr>
              <w:t>STxMP</w:t>
            </w:r>
          </w:p>
        </w:tc>
        <w:tc>
          <w:tcPr>
            <w:tcW w:w="1474" w:type="dxa"/>
            <w:vAlign w:val="center"/>
          </w:tcPr>
          <w:p>
            <w:pPr>
              <w:pStyle w:val="25"/>
              <w:spacing w:before="108" w:after="108"/>
              <w:jc w:val="center"/>
              <w:rPr>
                <w:rFonts w:ascii="Times New Roman" w:hAnsi="Times New Roman" w:eastAsia="宋体" w:cs="Times New Roman"/>
                <w:sz w:val="18"/>
                <w:szCs w:val="18"/>
              </w:rPr>
            </w:pPr>
            <w:r>
              <w:rPr>
                <w:rFonts w:hint="eastAsia" w:ascii="Times New Roman" w:hAnsi="Times New Roman" w:eastAsia="宋体" w:cs="Times New Roman"/>
                <w:color w:val="000000"/>
                <w:sz w:val="18"/>
                <w:szCs w:val="18"/>
              </w:rPr>
              <w:t>118.43</w:t>
            </w:r>
          </w:p>
          <w:p>
            <w:pPr>
              <w:pStyle w:val="25"/>
              <w:spacing w:before="108" w:after="108"/>
              <w:jc w:val="center"/>
              <w:rPr>
                <w:rFonts w:ascii="Times New Roman" w:hAnsi="Times New Roman" w:cs="Times New Roman"/>
                <w:color w:val="000000"/>
                <w:sz w:val="18"/>
                <w:szCs w:val="18"/>
              </w:rPr>
            </w:pPr>
            <w:r>
              <w:rPr>
                <w:rFonts w:hint="eastAsia" w:ascii="Times New Roman" w:hAnsi="Times New Roman" w:eastAsia="宋体" w:cs="Times New Roman"/>
                <w:b/>
                <w:bCs/>
                <w:color w:val="000000"/>
                <w:sz w:val="18"/>
                <w:szCs w:val="18"/>
              </w:rPr>
              <w:t>-2.2</w:t>
            </w:r>
            <w:r>
              <w:rPr>
                <w:rFonts w:ascii="Times New Roman" w:hAnsi="Times New Roman" w:cs="Times New Roman"/>
                <w:b/>
                <w:bCs/>
                <w:color w:val="000000"/>
                <w:sz w:val="18"/>
                <w:szCs w:val="18"/>
              </w:rPr>
              <w:t>% </w:t>
            </w:r>
            <w:r>
              <w:rPr>
                <w:rFonts w:ascii="Times New Roman" w:hAnsi="Times New Roman" w:cs="Times New Roman"/>
                <w:b/>
                <w:bCs/>
                <w:color w:val="FF0000"/>
                <w:sz w:val="18"/>
                <w:szCs w:val="18"/>
              </w:rPr>
              <w:t>(↓)</w:t>
            </w:r>
          </w:p>
        </w:tc>
        <w:tc>
          <w:tcPr>
            <w:tcW w:w="1474" w:type="dxa"/>
            <w:vAlign w:val="center"/>
          </w:tcPr>
          <w:p>
            <w:pPr>
              <w:pStyle w:val="25"/>
              <w:spacing w:before="108" w:after="108"/>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19.79</w:t>
            </w:r>
          </w:p>
          <w:p>
            <w:pPr>
              <w:pStyle w:val="25"/>
              <w:spacing w:before="108" w:after="108"/>
              <w:jc w:val="center"/>
              <w:rPr>
                <w:rFonts w:ascii="Times New Roman" w:hAnsi="Times New Roman" w:cs="Times New Roman"/>
                <w:color w:val="000000"/>
                <w:sz w:val="18"/>
                <w:szCs w:val="18"/>
              </w:rPr>
            </w:pPr>
            <w:r>
              <w:rPr>
                <w:rFonts w:ascii="Times New Roman" w:hAnsi="Times New Roman" w:cs="Times New Roman"/>
                <w:b/>
                <w:bCs/>
                <w:color w:val="000000"/>
                <w:sz w:val="18"/>
                <w:szCs w:val="18"/>
              </w:rPr>
              <w:t>-</w:t>
            </w:r>
            <w:r>
              <w:rPr>
                <w:rFonts w:hint="eastAsia" w:ascii="Times New Roman" w:hAnsi="Times New Roman" w:eastAsia="宋体" w:cs="Times New Roman"/>
                <w:b/>
                <w:bCs/>
                <w:color w:val="000000"/>
                <w:sz w:val="18"/>
                <w:szCs w:val="18"/>
              </w:rPr>
              <w:t>1.5</w:t>
            </w:r>
            <w:r>
              <w:rPr>
                <w:rFonts w:ascii="Times New Roman" w:hAnsi="Times New Roman" w:cs="Times New Roman"/>
                <w:b/>
                <w:bCs/>
                <w:color w:val="000000"/>
                <w:sz w:val="18"/>
                <w:szCs w:val="18"/>
              </w:rPr>
              <w:t>% </w:t>
            </w:r>
            <w:r>
              <w:rPr>
                <w:rFonts w:ascii="Times New Roman" w:hAnsi="Times New Roman" w:cs="Times New Roman"/>
                <w:b/>
                <w:bCs/>
                <w:color w:val="FF0000"/>
                <w:sz w:val="18"/>
                <w:szCs w:val="18"/>
              </w:rPr>
              <w:t>(↓)</w:t>
            </w:r>
          </w:p>
        </w:tc>
        <w:tc>
          <w:tcPr>
            <w:tcW w:w="1474" w:type="dxa"/>
            <w:vAlign w:val="center"/>
          </w:tcPr>
          <w:p>
            <w:pPr>
              <w:pStyle w:val="25"/>
              <w:spacing w:before="108" w:after="108"/>
              <w:jc w:val="center"/>
              <w:rPr>
                <w:rFonts w:ascii="Times New Roman" w:hAnsi="Times New Roman" w:eastAsia="宋体" w:cs="Times New Roman"/>
                <w:sz w:val="18"/>
                <w:szCs w:val="18"/>
              </w:rPr>
            </w:pPr>
            <w:r>
              <w:rPr>
                <w:rFonts w:hint="eastAsia" w:ascii="Times New Roman" w:hAnsi="Times New Roman" w:eastAsia="宋体" w:cs="Times New Roman"/>
                <w:color w:val="000000"/>
                <w:sz w:val="18"/>
                <w:szCs w:val="18"/>
              </w:rPr>
              <w:t>68.25</w:t>
            </w:r>
          </w:p>
          <w:p>
            <w:pPr>
              <w:pStyle w:val="25"/>
              <w:spacing w:before="108" w:after="108"/>
              <w:jc w:val="center"/>
              <w:rPr>
                <w:rFonts w:ascii="Times New Roman" w:hAnsi="Times New Roman" w:cs="Times New Roman"/>
                <w:color w:val="000000"/>
                <w:sz w:val="18"/>
                <w:szCs w:val="18"/>
              </w:rPr>
            </w:pPr>
            <w:r>
              <w:rPr>
                <w:rFonts w:hint="eastAsia" w:ascii="Times New Roman" w:hAnsi="Times New Roman" w:eastAsia="宋体" w:cs="Times New Roman"/>
                <w:b/>
                <w:bCs/>
                <w:color w:val="000000"/>
                <w:sz w:val="18"/>
                <w:szCs w:val="18"/>
              </w:rPr>
              <w:t>-6.5</w:t>
            </w:r>
            <w:r>
              <w:rPr>
                <w:rFonts w:ascii="Times New Roman" w:hAnsi="Times New Roman" w:cs="Times New Roman"/>
                <w:b/>
                <w:bCs/>
                <w:color w:val="000000"/>
                <w:sz w:val="18"/>
                <w:szCs w:val="18"/>
              </w:rPr>
              <w:t>%</w:t>
            </w:r>
            <w:r>
              <w:rPr>
                <w:rFonts w:ascii="Times New Roman" w:hAnsi="Times New Roman" w:cs="Times New Roman"/>
                <w:b/>
                <w:bCs/>
                <w:color w:val="00B050"/>
                <w:sz w:val="18"/>
                <w:szCs w:val="18"/>
              </w:rPr>
              <w:t> </w:t>
            </w:r>
            <w:r>
              <w:rPr>
                <w:rFonts w:ascii="Times New Roman" w:hAnsi="Times New Roman" w:cs="Times New Roman"/>
                <w:b/>
                <w:bCs/>
                <w:color w:val="FF0000"/>
                <w:sz w:val="18"/>
                <w:szCs w:val="18"/>
              </w:rPr>
              <w:t>(↓)</w:t>
            </w:r>
          </w:p>
        </w:tc>
        <w:tc>
          <w:tcPr>
            <w:tcW w:w="1474" w:type="dxa"/>
            <w:vAlign w:val="center"/>
          </w:tcPr>
          <w:p>
            <w:pPr>
              <w:pStyle w:val="25"/>
              <w:spacing w:before="108" w:after="108"/>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408.14</w:t>
            </w:r>
          </w:p>
          <w:p>
            <w:pPr>
              <w:pStyle w:val="25"/>
              <w:spacing w:before="108" w:after="108"/>
              <w:jc w:val="center"/>
              <w:rPr>
                <w:rFonts w:ascii="Times New Roman" w:hAnsi="Times New Roman" w:cs="Times New Roman"/>
                <w:color w:val="000000"/>
                <w:sz w:val="18"/>
                <w:szCs w:val="18"/>
              </w:rPr>
            </w:pPr>
            <w:r>
              <w:rPr>
                <w:rFonts w:hint="eastAsia" w:ascii="Times New Roman" w:hAnsi="Times New Roman" w:eastAsia="宋体" w:cs="Times New Roman"/>
                <w:b/>
                <w:bCs/>
                <w:color w:val="000000"/>
                <w:sz w:val="18"/>
                <w:szCs w:val="18"/>
              </w:rPr>
              <w:t>-2.1</w:t>
            </w:r>
            <w:r>
              <w:rPr>
                <w:rFonts w:ascii="Times New Roman" w:hAnsi="Times New Roman" w:cs="Times New Roman"/>
                <w:b/>
                <w:bCs/>
                <w:color w:val="000000"/>
                <w:sz w:val="18"/>
                <w:szCs w:val="18"/>
              </w:rPr>
              <w:t>% </w:t>
            </w:r>
            <w:r>
              <w:rPr>
                <w:rFonts w:ascii="Times New Roman" w:hAnsi="Times New Roman" w:cs="Times New Roman"/>
                <w:b/>
                <w:bCs/>
                <w:color w:val="FF000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50" w:type="dxa"/>
            <w:vMerge w:val="continue"/>
            <w:shd w:val="clear" w:color="auto" w:fill="D7D7D7" w:themeFill="background1" w:themeFillShade="D8"/>
          </w:tcPr>
          <w:p>
            <w:pPr>
              <w:pStyle w:val="123"/>
              <w:spacing w:before="108" w:after="108" w:line="252" w:lineRule="auto"/>
              <w:rPr>
                <w:rFonts w:ascii="Times New Roman" w:hAnsi="Times New Roman" w:cs="Times New Roman"/>
                <w:b/>
                <w:bCs/>
                <w:color w:val="000000"/>
                <w:lang w:eastAsia="ja-JP"/>
              </w:rPr>
            </w:pPr>
          </w:p>
        </w:tc>
        <w:tc>
          <w:tcPr>
            <w:tcW w:w="1984" w:type="dxa"/>
            <w:shd w:val="clear" w:color="auto" w:fill="D7D7D7" w:themeFill="background1" w:themeFillShade="D8"/>
          </w:tcPr>
          <w:p>
            <w:pPr>
              <w:pStyle w:val="123"/>
              <w:spacing w:before="108" w:after="108" w:line="252" w:lineRule="auto"/>
              <w:rPr>
                <w:rFonts w:ascii="Times New Roman" w:hAnsi="Times New Roman" w:eastAsia="宋体" w:cs="Times New Roman"/>
                <w:b/>
                <w:bCs/>
                <w:color w:val="000000"/>
                <w:lang w:eastAsia="zh-CN"/>
              </w:rPr>
            </w:pPr>
            <w:r>
              <w:rPr>
                <w:rFonts w:ascii="Times New Roman" w:hAnsi="Times New Roman" w:eastAsia="宋体" w:cs="Times New Roman"/>
                <w:b/>
                <w:bCs/>
                <w:color w:val="000000"/>
                <w:lang w:eastAsia="zh-CN"/>
              </w:rPr>
              <w:t>2</w:t>
            </w:r>
            <w:r>
              <w:rPr>
                <w:rFonts w:hint="eastAsia" w:ascii="Times New Roman" w:hAnsi="Times New Roman" w:eastAsia="宋体" w:cs="Times New Roman"/>
                <w:b/>
                <w:bCs/>
                <w:color w:val="000000"/>
                <w:lang w:eastAsia="zh-CN"/>
              </w:rPr>
              <w:t xml:space="preserve"> </w:t>
            </w:r>
            <w:r>
              <w:rPr>
                <w:rFonts w:ascii="Times New Roman" w:hAnsi="Times New Roman" w:eastAsia="宋体" w:cs="Times New Roman"/>
                <w:b/>
                <w:bCs/>
                <w:color w:val="000000"/>
                <w:lang w:eastAsia="zh-CN"/>
              </w:rPr>
              <w:t>CW</w:t>
            </w:r>
            <w:r>
              <w:rPr>
                <w:rFonts w:hint="eastAsia" w:ascii="Times New Roman" w:hAnsi="Times New Roman" w:eastAsia="宋体" w:cs="Times New Roman"/>
                <w:b/>
                <w:bCs/>
                <w:color w:val="000000"/>
                <w:lang w:eastAsia="zh-CN"/>
              </w:rPr>
              <w:t>s</w:t>
            </w:r>
            <w:r>
              <w:rPr>
                <w:rFonts w:ascii="Times New Roman" w:hAnsi="Times New Roman" w:eastAsia="宋体" w:cs="Times New Roman"/>
                <w:b/>
                <w:bCs/>
                <w:color w:val="000000"/>
                <w:lang w:eastAsia="zh-CN"/>
              </w:rPr>
              <w:t xml:space="preserve"> SDM </w:t>
            </w:r>
            <w:r>
              <w:rPr>
                <w:rFonts w:hint="eastAsia" w:ascii="Times New Roman" w:hAnsi="Times New Roman" w:eastAsia="宋体" w:cs="Times New Roman"/>
                <w:b/>
                <w:bCs/>
                <w:color w:val="000000"/>
                <w:lang w:eastAsia="zh-CN"/>
              </w:rPr>
              <w:t>STxMP</w:t>
            </w:r>
          </w:p>
        </w:tc>
        <w:tc>
          <w:tcPr>
            <w:tcW w:w="1474" w:type="dxa"/>
            <w:vAlign w:val="center"/>
          </w:tcPr>
          <w:p>
            <w:pPr>
              <w:pStyle w:val="25"/>
              <w:spacing w:before="108" w:after="108"/>
              <w:jc w:val="center"/>
              <w:rPr>
                <w:rFonts w:ascii="Times New Roman" w:hAnsi="Times New Roman" w:eastAsia="宋体" w:cs="Times New Roman"/>
                <w:sz w:val="18"/>
                <w:szCs w:val="18"/>
              </w:rPr>
            </w:pPr>
            <w:r>
              <w:rPr>
                <w:rFonts w:hint="eastAsia" w:ascii="Times New Roman" w:hAnsi="Times New Roman" w:eastAsia="宋体" w:cs="Times New Roman"/>
                <w:color w:val="000000"/>
                <w:sz w:val="18"/>
                <w:szCs w:val="18"/>
              </w:rPr>
              <w:t>128.21</w:t>
            </w:r>
          </w:p>
          <w:p>
            <w:pPr>
              <w:pStyle w:val="25"/>
              <w:spacing w:before="108" w:after="108"/>
              <w:jc w:val="center"/>
              <w:rPr>
                <w:rFonts w:ascii="Times New Roman" w:hAnsi="Times New Roman" w:cs="Times New Roman"/>
                <w:color w:val="000000"/>
                <w:sz w:val="18"/>
                <w:szCs w:val="18"/>
              </w:rPr>
            </w:pPr>
            <w:r>
              <w:rPr>
                <w:rFonts w:hint="eastAsia" w:ascii="Times New Roman" w:hAnsi="Times New Roman" w:eastAsia="宋体" w:cs="Times New Roman"/>
                <w:b/>
                <w:bCs/>
                <w:color w:val="000000"/>
                <w:sz w:val="18"/>
                <w:szCs w:val="18"/>
              </w:rPr>
              <w:t>5</w:t>
            </w:r>
            <w:r>
              <w:rPr>
                <w:rFonts w:ascii="Times New Roman" w:hAnsi="Times New Roman" w:eastAsia="宋体" w:cs="Times New Roman"/>
                <w:b/>
                <w:bCs/>
                <w:color w:val="000000"/>
                <w:sz w:val="18"/>
                <w:szCs w:val="18"/>
              </w:rPr>
              <w:t>.</w:t>
            </w:r>
            <w:r>
              <w:rPr>
                <w:rFonts w:hint="eastAsia" w:ascii="Times New Roman" w:hAnsi="Times New Roman" w:eastAsia="宋体" w:cs="Times New Roman"/>
                <w:b/>
                <w:bCs/>
                <w:color w:val="000000"/>
                <w:sz w:val="18"/>
                <w:szCs w:val="18"/>
              </w:rPr>
              <w:t>9</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c>
          <w:tcPr>
            <w:tcW w:w="1474" w:type="dxa"/>
            <w:vAlign w:val="center"/>
          </w:tcPr>
          <w:p>
            <w:pPr>
              <w:pStyle w:val="25"/>
              <w:spacing w:before="108" w:after="108"/>
              <w:jc w:val="center"/>
              <w:rPr>
                <w:rFonts w:ascii="Times New Roman" w:hAnsi="Times New Roman" w:eastAsia="宋体" w:cs="Times New Roman"/>
                <w:sz w:val="18"/>
                <w:szCs w:val="18"/>
              </w:rPr>
            </w:pPr>
            <w:r>
              <w:rPr>
                <w:rFonts w:hint="eastAsia" w:ascii="Times New Roman" w:hAnsi="Times New Roman" w:eastAsia="宋体" w:cs="Times New Roman"/>
                <w:color w:val="000000"/>
                <w:sz w:val="18"/>
                <w:szCs w:val="18"/>
              </w:rPr>
              <w:t>20.96</w:t>
            </w:r>
          </w:p>
          <w:p>
            <w:pPr>
              <w:pStyle w:val="25"/>
              <w:spacing w:before="108" w:after="108"/>
              <w:jc w:val="center"/>
              <w:rPr>
                <w:rFonts w:ascii="Times New Roman" w:hAnsi="Times New Roman" w:cs="Times New Roman"/>
                <w:color w:val="000000"/>
                <w:sz w:val="18"/>
                <w:szCs w:val="18"/>
              </w:rPr>
            </w:pPr>
            <w:r>
              <w:rPr>
                <w:rFonts w:hint="eastAsia" w:ascii="Times New Roman" w:hAnsi="Times New Roman" w:eastAsia="宋体" w:cs="Times New Roman"/>
                <w:b/>
                <w:bCs/>
                <w:color w:val="000000"/>
                <w:sz w:val="18"/>
                <w:szCs w:val="18"/>
              </w:rPr>
              <w:t>4</w:t>
            </w:r>
            <w:r>
              <w:rPr>
                <w:rFonts w:ascii="Times New Roman" w:hAnsi="Times New Roman" w:eastAsia="宋体" w:cs="Times New Roman"/>
                <w:b/>
                <w:bCs/>
                <w:color w:val="000000"/>
                <w:sz w:val="18"/>
                <w:szCs w:val="18"/>
              </w:rPr>
              <w:t>.</w:t>
            </w:r>
            <w:r>
              <w:rPr>
                <w:rFonts w:hint="eastAsia" w:ascii="Times New Roman" w:hAnsi="Times New Roman" w:eastAsia="宋体" w:cs="Times New Roman"/>
                <w:b/>
                <w:bCs/>
                <w:color w:val="000000"/>
                <w:sz w:val="18"/>
                <w:szCs w:val="18"/>
              </w:rPr>
              <w:t>3</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c>
          <w:tcPr>
            <w:tcW w:w="1474" w:type="dxa"/>
            <w:vAlign w:val="center"/>
          </w:tcPr>
          <w:p>
            <w:pPr>
              <w:pStyle w:val="25"/>
              <w:spacing w:before="108" w:after="108"/>
              <w:jc w:val="center"/>
              <w:rPr>
                <w:rFonts w:ascii="Times New Roman" w:hAnsi="Times New Roman" w:eastAsia="宋体" w:cs="Times New Roman"/>
                <w:sz w:val="18"/>
                <w:szCs w:val="18"/>
              </w:rPr>
            </w:pPr>
            <w:r>
              <w:rPr>
                <w:rFonts w:hint="eastAsia" w:ascii="Times New Roman" w:hAnsi="Times New Roman" w:eastAsia="宋体" w:cs="Times New Roman"/>
                <w:color w:val="000000"/>
                <w:sz w:val="18"/>
                <w:szCs w:val="18"/>
              </w:rPr>
              <w:t>75.25</w:t>
            </w:r>
          </w:p>
          <w:p>
            <w:pPr>
              <w:pStyle w:val="25"/>
              <w:spacing w:before="108" w:after="108"/>
              <w:jc w:val="center"/>
              <w:rPr>
                <w:rFonts w:ascii="Times New Roman" w:hAnsi="Times New Roman" w:cs="Times New Roman"/>
                <w:color w:val="000000"/>
                <w:sz w:val="18"/>
                <w:szCs w:val="18"/>
              </w:rPr>
            </w:pPr>
            <w:r>
              <w:rPr>
                <w:rFonts w:hint="eastAsia" w:ascii="Times New Roman" w:hAnsi="Times New Roman" w:eastAsia="宋体" w:cs="Times New Roman"/>
                <w:b/>
                <w:bCs/>
                <w:color w:val="000000"/>
                <w:sz w:val="18"/>
                <w:szCs w:val="18"/>
              </w:rPr>
              <w:t>3.1</w:t>
            </w:r>
            <w:r>
              <w:rPr>
                <w:rFonts w:ascii="Times New Roman" w:hAnsi="Times New Roman" w:cs="Times New Roman"/>
                <w:b/>
                <w:bCs/>
                <w:color w:val="000000"/>
                <w:sz w:val="18"/>
                <w:szCs w:val="18"/>
              </w:rPr>
              <w:t>%</w:t>
            </w:r>
            <w:r>
              <w:rPr>
                <w:rFonts w:ascii="Times New Roman" w:hAnsi="Times New Roman" w:cs="Times New Roman"/>
                <w:b/>
                <w:bCs/>
                <w:color w:val="00B050"/>
                <w:sz w:val="18"/>
                <w:szCs w:val="18"/>
              </w:rPr>
              <w:t> (↑)</w:t>
            </w:r>
          </w:p>
        </w:tc>
        <w:tc>
          <w:tcPr>
            <w:tcW w:w="1474" w:type="dxa"/>
            <w:vAlign w:val="center"/>
          </w:tcPr>
          <w:p>
            <w:pPr>
              <w:pStyle w:val="25"/>
              <w:spacing w:before="108" w:after="108"/>
              <w:jc w:val="center"/>
              <w:rPr>
                <w:rFonts w:ascii="Times New Roman" w:hAnsi="Times New Roman" w:eastAsia="宋体" w:cs="Times New Roman"/>
                <w:sz w:val="18"/>
                <w:szCs w:val="18"/>
              </w:rPr>
            </w:pPr>
            <w:r>
              <w:rPr>
                <w:rFonts w:hint="eastAsia" w:ascii="Times New Roman" w:hAnsi="Times New Roman" w:eastAsia="宋体" w:cs="Times New Roman"/>
                <w:color w:val="000000"/>
                <w:sz w:val="18"/>
                <w:szCs w:val="18"/>
              </w:rPr>
              <w:t>422.26</w:t>
            </w:r>
          </w:p>
          <w:p>
            <w:pPr>
              <w:pStyle w:val="25"/>
              <w:spacing w:before="108" w:after="108"/>
              <w:jc w:val="center"/>
              <w:rPr>
                <w:rFonts w:ascii="Times New Roman" w:hAnsi="Times New Roman" w:cs="Times New Roman"/>
                <w:color w:val="000000"/>
                <w:sz w:val="18"/>
                <w:szCs w:val="18"/>
              </w:rPr>
            </w:pPr>
            <w:r>
              <w:rPr>
                <w:rFonts w:ascii="Times New Roman" w:hAnsi="Times New Roman" w:eastAsia="宋体" w:cs="Times New Roman"/>
                <w:b/>
                <w:bCs/>
                <w:color w:val="000000"/>
                <w:sz w:val="18"/>
                <w:szCs w:val="18"/>
              </w:rPr>
              <w:t>1</w:t>
            </w:r>
            <w:r>
              <w:rPr>
                <w:rFonts w:hint="eastAsia" w:ascii="Times New Roman" w:hAnsi="Times New Roman" w:eastAsia="宋体" w:cs="Times New Roman"/>
                <w:b/>
                <w:bCs/>
                <w:color w:val="000000"/>
                <w:sz w:val="18"/>
                <w:szCs w:val="18"/>
              </w:rPr>
              <w:t>.3</w:t>
            </w:r>
            <w:r>
              <w:rPr>
                <w:rFonts w:ascii="Times New Roman" w:hAnsi="Times New Roman" w:cs="Times New Roman"/>
                <w:b/>
                <w:bCs/>
                <w:color w:val="000000"/>
                <w:sz w:val="18"/>
                <w:szCs w:val="18"/>
              </w:rPr>
              <w:t>% </w:t>
            </w:r>
            <w:r>
              <w:rPr>
                <w:rFonts w:ascii="Times New Roman" w:hAnsi="Times New Roman" w:cs="Times New Roman"/>
                <w:b/>
                <w:bCs/>
                <w:color w:val="00B050"/>
                <w:sz w:val="18"/>
                <w:szCs w:val="18"/>
              </w:rPr>
              <w:t>(↑)</w:t>
            </w:r>
          </w:p>
        </w:tc>
      </w:tr>
    </w:tbl>
    <w:p>
      <w:pPr>
        <w:spacing w:before="288" w:beforeLines="80" w:after="108"/>
        <w:rPr>
          <w:rFonts w:eastAsia="宋体"/>
        </w:rPr>
      </w:pPr>
      <w:r>
        <w:rPr>
          <w:rFonts w:hint="eastAsia" w:eastAsia="宋体"/>
        </w:rPr>
        <w:t>Besides, the following Fig. 1 provides the statistics of the MCS level gap between two panels in case of 2 CWs SDM scheme, and it can be observed:</w:t>
      </w:r>
    </w:p>
    <w:p>
      <w:pPr>
        <w:numPr>
          <w:ilvl w:val="0"/>
          <w:numId w:val="12"/>
        </w:numPr>
        <w:spacing w:before="108" w:after="108"/>
        <w:rPr>
          <w:rFonts w:eastAsia="宋体"/>
        </w:rPr>
      </w:pPr>
      <w:r>
        <w:rPr>
          <w:rFonts w:eastAsia="宋体"/>
        </w:rPr>
        <w:t xml:space="preserve">For the case of RU ~15%, about 65% MP-UEs are scheduled with different MCS. </w:t>
      </w:r>
    </w:p>
    <w:p>
      <w:pPr>
        <w:numPr>
          <w:ilvl w:val="0"/>
          <w:numId w:val="12"/>
        </w:numPr>
        <w:spacing w:before="108" w:after="108"/>
        <w:rPr>
          <w:rFonts w:eastAsia="宋体"/>
        </w:rPr>
      </w:pPr>
      <w:r>
        <w:rPr>
          <w:rFonts w:eastAsia="宋体"/>
        </w:rPr>
        <w:t>For the case of RU ~30%, about 7</w:t>
      </w:r>
      <w:r>
        <w:rPr>
          <w:rFonts w:hint="eastAsia" w:eastAsia="宋体"/>
        </w:rPr>
        <w:t>5</w:t>
      </w:r>
      <w:r>
        <w:rPr>
          <w:rFonts w:eastAsia="宋体"/>
        </w:rPr>
        <w:t>% MP-UEs are scheduled with different MCS.</w:t>
      </w:r>
    </w:p>
    <w:p>
      <w:pPr>
        <w:numPr>
          <w:ilvl w:val="0"/>
          <w:numId w:val="12"/>
        </w:numPr>
        <w:spacing w:before="108" w:after="108"/>
        <w:rPr>
          <w:rFonts w:eastAsia="宋体"/>
        </w:rPr>
      </w:pPr>
      <w:r>
        <w:rPr>
          <w:rFonts w:eastAsia="宋体"/>
        </w:rPr>
        <w:t>For the case of RU ~50%, about 8</w:t>
      </w:r>
      <w:r>
        <w:rPr>
          <w:rFonts w:hint="eastAsia" w:eastAsia="宋体"/>
        </w:rPr>
        <w:t>0</w:t>
      </w:r>
      <w:r>
        <w:rPr>
          <w:rFonts w:eastAsia="宋体"/>
        </w:rPr>
        <w:t xml:space="preserve">% MP-UEs are scheduled with different MCS. </w:t>
      </w:r>
    </w:p>
    <w:p>
      <w:pPr>
        <w:numPr>
          <w:ilvl w:val="0"/>
          <w:numId w:val="12"/>
        </w:numPr>
        <w:spacing w:before="108" w:after="108"/>
        <w:rPr>
          <w:rFonts w:eastAsia="宋体"/>
        </w:rPr>
      </w:pPr>
      <w:r>
        <w:rPr>
          <w:rFonts w:eastAsia="宋体"/>
        </w:rPr>
        <w:t>For the case of RU ~80%, about 8</w:t>
      </w:r>
      <w:r>
        <w:rPr>
          <w:rFonts w:hint="eastAsia" w:eastAsia="宋体"/>
        </w:rPr>
        <w:t>5</w:t>
      </w:r>
      <w:r>
        <w:rPr>
          <w:rFonts w:eastAsia="宋体"/>
        </w:rPr>
        <w:t xml:space="preserve">% MP-UEs are scheduled with different MCS. </w:t>
      </w:r>
    </w:p>
    <w:p>
      <w:pPr>
        <w:numPr>
          <w:ilvl w:val="0"/>
          <w:numId w:val="12"/>
        </w:numPr>
        <w:spacing w:before="108" w:after="108"/>
        <w:rPr>
          <w:rFonts w:eastAsia="宋体"/>
        </w:rPr>
      </w:pPr>
      <w:r>
        <w:rPr>
          <w:rFonts w:eastAsia="宋体"/>
        </w:rPr>
        <w:t>In particular, nearly 15%-20% MP-UEs are even scheduled with MCS level gap &gt; 5.</w:t>
      </w:r>
    </w:p>
    <w:p>
      <w:pPr>
        <w:spacing w:before="108" w:after="108"/>
        <w:jc w:val="center"/>
        <w:rPr>
          <w:rFonts w:eastAsia="宋体"/>
        </w:rPr>
      </w:pPr>
      <w:r>
        <w:drawing>
          <wp:inline distT="0" distB="0" distL="114300" distR="114300">
            <wp:extent cx="2733675" cy="2232025"/>
            <wp:effectExtent l="0" t="0" r="0" b="8255"/>
            <wp:docPr id="1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3"/>
                    <pic:cNvPicPr>
                      <a:picLocks noChangeAspect="1"/>
                    </pic:cNvPicPr>
                  </pic:nvPicPr>
                  <pic:blipFill>
                    <a:blip r:embed="rId10"/>
                    <a:srcRect l="2430" r="5669"/>
                    <a:stretch>
                      <a:fillRect/>
                    </a:stretch>
                  </pic:blipFill>
                  <pic:spPr>
                    <a:xfrm>
                      <a:off x="0" y="0"/>
                      <a:ext cx="2733675" cy="2232025"/>
                    </a:xfrm>
                    <a:prstGeom prst="rect">
                      <a:avLst/>
                    </a:prstGeom>
                    <a:noFill/>
                    <a:ln>
                      <a:noFill/>
                    </a:ln>
                  </pic:spPr>
                </pic:pic>
              </a:graphicData>
            </a:graphic>
          </wp:inline>
        </w:drawing>
      </w:r>
      <w:r>
        <w:rPr>
          <w:rFonts w:hint="eastAsia" w:eastAsia="宋体"/>
        </w:rPr>
        <w:t xml:space="preserve"> </w:t>
      </w:r>
      <w:r>
        <w:drawing>
          <wp:inline distT="0" distB="0" distL="114300" distR="114300">
            <wp:extent cx="2731135" cy="2232025"/>
            <wp:effectExtent l="0" t="0" r="0" b="8255"/>
            <wp:docPr id="1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5"/>
                    <pic:cNvPicPr>
                      <a:picLocks noChangeAspect="1"/>
                    </pic:cNvPicPr>
                  </pic:nvPicPr>
                  <pic:blipFill>
                    <a:blip r:embed="rId11"/>
                    <a:srcRect l="2979" r="4864"/>
                    <a:stretch>
                      <a:fillRect/>
                    </a:stretch>
                  </pic:blipFill>
                  <pic:spPr>
                    <a:xfrm>
                      <a:off x="0" y="0"/>
                      <a:ext cx="2731135" cy="2232025"/>
                    </a:xfrm>
                    <a:prstGeom prst="rect">
                      <a:avLst/>
                    </a:prstGeom>
                    <a:noFill/>
                    <a:ln>
                      <a:noFill/>
                    </a:ln>
                  </pic:spPr>
                </pic:pic>
              </a:graphicData>
            </a:graphic>
          </wp:inline>
        </w:drawing>
      </w:r>
    </w:p>
    <w:p>
      <w:pPr>
        <w:spacing w:before="108" w:after="108"/>
        <w:jc w:val="center"/>
      </w:pPr>
      <w:r>
        <w:drawing>
          <wp:inline distT="0" distB="0" distL="114300" distR="114300">
            <wp:extent cx="2760980" cy="2232025"/>
            <wp:effectExtent l="0" t="0" r="0" b="8255"/>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
                    <pic:cNvPicPr>
                      <a:picLocks noChangeAspect="1"/>
                    </pic:cNvPicPr>
                  </pic:nvPicPr>
                  <pic:blipFill>
                    <a:blip r:embed="rId12"/>
                    <a:srcRect l="2545" r="4792"/>
                    <a:stretch>
                      <a:fillRect/>
                    </a:stretch>
                  </pic:blipFill>
                  <pic:spPr>
                    <a:xfrm>
                      <a:off x="0" y="0"/>
                      <a:ext cx="2760980" cy="2232025"/>
                    </a:xfrm>
                    <a:prstGeom prst="rect">
                      <a:avLst/>
                    </a:prstGeom>
                    <a:noFill/>
                    <a:ln>
                      <a:noFill/>
                    </a:ln>
                  </pic:spPr>
                </pic:pic>
              </a:graphicData>
            </a:graphic>
          </wp:inline>
        </w:drawing>
      </w:r>
      <w:r>
        <w:drawing>
          <wp:inline distT="0" distB="0" distL="114300" distR="114300">
            <wp:extent cx="2761615" cy="2232025"/>
            <wp:effectExtent l="0" t="0" r="0" b="8255"/>
            <wp:docPr id="2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7"/>
                    <pic:cNvPicPr>
                      <a:picLocks noChangeAspect="1"/>
                    </pic:cNvPicPr>
                  </pic:nvPicPr>
                  <pic:blipFill>
                    <a:blip r:embed="rId13"/>
                    <a:srcRect l="2885" r="4306"/>
                    <a:stretch>
                      <a:fillRect/>
                    </a:stretch>
                  </pic:blipFill>
                  <pic:spPr>
                    <a:xfrm>
                      <a:off x="0" y="0"/>
                      <a:ext cx="2761615" cy="2232025"/>
                    </a:xfrm>
                    <a:prstGeom prst="rect">
                      <a:avLst/>
                    </a:prstGeom>
                    <a:noFill/>
                    <a:ln>
                      <a:noFill/>
                    </a:ln>
                  </pic:spPr>
                </pic:pic>
              </a:graphicData>
            </a:graphic>
          </wp:inline>
        </w:drawing>
      </w:r>
    </w:p>
    <w:p>
      <w:pPr>
        <w:spacing w:before="108" w:after="108"/>
        <w:jc w:val="center"/>
        <w:rPr>
          <w:rFonts w:eastAsia="宋体"/>
        </w:rPr>
      </w:pPr>
      <w:r>
        <w:rPr>
          <w:rFonts w:hint="eastAsia" w:eastAsia="宋体"/>
          <w:b/>
          <w:bCs/>
        </w:rPr>
        <w:t>Figure 1</w:t>
      </w:r>
      <w:r>
        <w:rPr>
          <w:rFonts w:hint="eastAsia" w:eastAsia="宋体"/>
        </w:rPr>
        <w:t xml:space="preserve">  MCS level gap between two panels when 2 CWs SDM based STxMP PUSCH transmission</w:t>
      </w:r>
    </w:p>
    <w:p>
      <w:pPr>
        <w:spacing w:before="288" w:beforeLines="80" w:after="108"/>
        <w:rPr>
          <w:rFonts w:eastAsia="宋体"/>
          <w:i/>
          <w:iCs/>
        </w:rPr>
      </w:pPr>
      <w:r>
        <w:rPr>
          <w:rFonts w:hint="eastAsia" w:eastAsia="宋体"/>
          <w:b/>
          <w:bCs/>
          <w:i/>
          <w:iCs/>
        </w:rPr>
        <w:t>Observation:</w:t>
      </w:r>
      <w:r>
        <w:rPr>
          <w:rFonts w:hint="eastAsia" w:eastAsia="宋体"/>
          <w:i/>
          <w:iCs/>
        </w:rPr>
        <w:t xml:space="preserve"> For SDM scheme based STxMP PUSCH transmission, the system level simulation results of 1 CW v.s. 2 CWs proves that:</w:t>
      </w:r>
    </w:p>
    <w:p>
      <w:pPr>
        <w:numPr>
          <w:ilvl w:val="0"/>
          <w:numId w:val="12"/>
        </w:numPr>
        <w:spacing w:before="108" w:after="108"/>
        <w:rPr>
          <w:rFonts w:eastAsia="宋体"/>
          <w:i/>
          <w:iCs/>
        </w:rPr>
      </w:pPr>
      <w:r>
        <w:rPr>
          <w:rFonts w:hint="eastAsia" w:eastAsia="宋体"/>
          <w:i/>
          <w:iCs/>
        </w:rPr>
        <w:t>In low-load and medium-load scenarios, 2 CWs SDM</w:t>
      </w:r>
      <w:r>
        <w:rPr>
          <w:rFonts w:hint="eastAsia"/>
          <w:i/>
          <w:iCs/>
        </w:rPr>
        <w:t xml:space="preserve"> </w:t>
      </w:r>
      <w:r>
        <w:rPr>
          <w:rFonts w:hint="eastAsia" w:eastAsia="宋体"/>
          <w:i/>
          <w:iCs/>
        </w:rPr>
        <w:t>could always obtain perform gain. In contrast, 1 CW SDM will cause performance loss in some cases, i.e. 5%-ile UEs and 50%-ile UEs.</w:t>
      </w:r>
    </w:p>
    <w:p>
      <w:pPr>
        <w:numPr>
          <w:ilvl w:val="0"/>
          <w:numId w:val="12"/>
        </w:numPr>
        <w:spacing w:before="108" w:after="108"/>
        <w:rPr>
          <w:rFonts w:eastAsia="宋体"/>
          <w:i/>
          <w:iCs/>
        </w:rPr>
      </w:pPr>
      <w:r>
        <w:rPr>
          <w:rFonts w:hint="eastAsia" w:eastAsia="宋体"/>
          <w:i/>
          <w:iCs/>
        </w:rPr>
        <w:t>Even in high-load scenario (RU ~80%), 2 CWs SDM could outperform over single-panel transmission, but 1 CW cannot obtain performance gain anymore.</w:t>
      </w:r>
    </w:p>
    <w:p>
      <w:pPr>
        <w:numPr>
          <w:ilvl w:val="0"/>
          <w:numId w:val="12"/>
        </w:numPr>
        <w:spacing w:before="108" w:after="108"/>
        <w:rPr>
          <w:rFonts w:eastAsia="宋体"/>
          <w:i/>
          <w:iCs/>
        </w:rPr>
      </w:pPr>
      <w:r>
        <w:rPr>
          <w:rFonts w:hint="eastAsia" w:eastAsia="宋体"/>
          <w:i/>
          <w:iCs/>
        </w:rPr>
        <w:t>With the increase of RU, the performance gain of 1 CW SDM</w:t>
      </w:r>
      <w:r>
        <w:rPr>
          <w:rFonts w:hint="eastAsia"/>
          <w:i/>
          <w:iCs/>
        </w:rPr>
        <w:t xml:space="preserve"> </w:t>
      </w:r>
      <w:r>
        <w:rPr>
          <w:rFonts w:hint="eastAsia" w:eastAsia="宋体"/>
          <w:i/>
          <w:iCs/>
        </w:rPr>
        <w:t>will degrade more severe than 2 CWs SDM, and the gap of performance gain between 1 CW SDM</w:t>
      </w:r>
      <w:r>
        <w:rPr>
          <w:rFonts w:hint="eastAsia"/>
          <w:i/>
          <w:iCs/>
        </w:rPr>
        <w:t xml:space="preserve"> </w:t>
      </w:r>
      <w:r>
        <w:rPr>
          <w:rFonts w:hint="eastAsia" w:eastAsia="宋体"/>
          <w:i/>
          <w:iCs/>
        </w:rPr>
        <w:t>and 2 CWs SDM</w:t>
      </w:r>
      <w:r>
        <w:rPr>
          <w:rFonts w:hint="eastAsia"/>
          <w:i/>
          <w:iCs/>
        </w:rPr>
        <w:t xml:space="preserve"> </w:t>
      </w:r>
      <w:r>
        <w:rPr>
          <w:rFonts w:hint="eastAsia" w:eastAsia="宋体"/>
          <w:i/>
          <w:iCs/>
        </w:rPr>
        <w:t>becomes larger.</w:t>
      </w:r>
    </w:p>
    <w:p>
      <w:pPr>
        <w:numPr>
          <w:ilvl w:val="0"/>
          <w:numId w:val="12"/>
        </w:numPr>
        <w:spacing w:before="108" w:after="108"/>
        <w:rPr>
          <w:rFonts w:eastAsia="宋体"/>
        </w:rPr>
      </w:pPr>
      <w:r>
        <w:rPr>
          <w:rFonts w:hint="eastAsia" w:eastAsia="宋体"/>
          <w:i/>
          <w:iCs/>
        </w:rPr>
        <w:t>Most of MP-UEs need to be scheduled with different MCS when</w:t>
      </w:r>
      <w:r>
        <w:rPr>
          <w:rFonts w:eastAsia="宋体"/>
          <w:i/>
          <w:iCs/>
        </w:rPr>
        <w:t xml:space="preserve"> </w:t>
      </w:r>
      <w:r>
        <w:rPr>
          <w:rFonts w:hint="eastAsia" w:eastAsia="宋体"/>
          <w:i/>
          <w:iCs/>
        </w:rPr>
        <w:t>SDM based STxMP PUSCH transmission.</w:t>
      </w:r>
    </w:p>
    <w:p>
      <w:pPr>
        <w:spacing w:before="288" w:beforeLines="80" w:after="108"/>
        <w:rPr>
          <w:rFonts w:eastAsia="宋体"/>
        </w:rPr>
      </w:pPr>
      <w:r>
        <w:rPr>
          <w:rFonts w:hint="eastAsia" w:eastAsia="宋体"/>
        </w:rPr>
        <w:t>In addition to the performance gain, the complexity of both UE i</w:t>
      </w:r>
      <w:bookmarkStart w:id="4" w:name="_GoBack"/>
      <w:bookmarkEnd w:id="4"/>
      <w:r>
        <w:rPr>
          <w:rFonts w:hint="eastAsia" w:eastAsia="宋体"/>
        </w:rPr>
        <w:t xml:space="preserve">mplementation and NW deployment should be taken into consideration of supporting 1 CW and/or 2 CWs for SDM scheme based STxMP PUSCH transmission. </w:t>
      </w:r>
    </w:p>
    <w:p>
      <w:pPr>
        <w:numPr>
          <w:ilvl w:val="0"/>
          <w:numId w:val="12"/>
        </w:numPr>
        <w:spacing w:before="108" w:after="108"/>
        <w:rPr>
          <w:rFonts w:eastAsia="宋体"/>
        </w:rPr>
      </w:pPr>
      <w:r>
        <w:rPr>
          <w:rFonts w:hint="eastAsia" w:eastAsia="宋体"/>
        </w:rPr>
        <w:t>From the UE side, it is intuitive the hardware requirement of 2 CWs SDM is higher demanded than 1 CW SDM, where two independent Tx chains and sufficient physical space are needed. However, considering the target UEs are CPE/FWA/vehicle/industrial device rather than the handheld or wearable equipment, the complexity of UE implementation may not be such challenging.</w:t>
      </w:r>
    </w:p>
    <w:p>
      <w:pPr>
        <w:numPr>
          <w:ilvl w:val="0"/>
          <w:numId w:val="12"/>
        </w:numPr>
        <w:spacing w:before="108" w:after="108"/>
        <w:rPr>
          <w:rFonts w:eastAsia="宋体"/>
        </w:rPr>
      </w:pPr>
      <w:r>
        <w:rPr>
          <w:rFonts w:hint="eastAsia" w:eastAsia="宋体"/>
        </w:rPr>
        <w:t>From the NW side, it is worthwhile to not</w:t>
      </w:r>
      <w:r>
        <w:rPr>
          <w:rFonts w:hint="eastAsia" w:eastAsia="宋体"/>
          <w:lang w:val="en-US" w:eastAsia="zh-CN"/>
        </w:rPr>
        <w:t>ice</w:t>
      </w:r>
      <w:r>
        <w:rPr>
          <w:rFonts w:hint="eastAsia" w:eastAsia="宋体"/>
        </w:rPr>
        <w:t xml:space="preserve"> that traffic backhaul overload in 1 CW SDM case could be the huge challenge of the NW deployment. More precisely, due to 1 CW SDM scheme requires, the NW should receive two PUSCH transmissions from two TRPs completely at first and then demodulate/decoding the data combination jointly. When the amount of transmission data is pretty large in case of high-load traffic, the backhaul overload </w:t>
      </w:r>
      <w:r>
        <w:rPr>
          <w:rFonts w:hint="eastAsia" w:eastAsia="宋体"/>
          <w:lang w:val="en-US" w:eastAsia="zh-CN"/>
        </w:rPr>
        <w:t xml:space="preserve">across </w:t>
      </w:r>
      <w:r>
        <w:rPr>
          <w:rFonts w:hint="eastAsia" w:eastAsia="宋体"/>
        </w:rPr>
        <w:t xml:space="preserve">two TRPs will be extremely huge, which is too much pressure for NW scheduling and may cause traffic delay by wait to stop. By comparison, 2 CWs SDM could avoid such dilemma because it can process separate demodulation/decoding for each PUSCH reception, </w:t>
      </w:r>
      <w:r>
        <w:rPr>
          <w:rFonts w:hint="eastAsia" w:eastAsia="宋体"/>
          <w:lang w:val="en-US" w:eastAsia="zh-CN"/>
        </w:rPr>
        <w:t xml:space="preserve">hence </w:t>
      </w:r>
      <w:r>
        <w:rPr>
          <w:rFonts w:hint="eastAsia" w:eastAsia="宋体"/>
        </w:rPr>
        <w:t>it does not require the backhaul delivery across two TRPs.</w:t>
      </w:r>
    </w:p>
    <w:p>
      <w:pPr>
        <w:spacing w:before="108" w:after="108"/>
        <w:rPr>
          <w:rFonts w:eastAsia="宋体"/>
        </w:rPr>
      </w:pPr>
      <w:r>
        <w:rPr>
          <w:rFonts w:hint="eastAsia" w:eastAsia="宋体"/>
        </w:rPr>
        <w:t>According to the evaluation of performance gain and the analysis of implementation/deployment complexity above, it proves 2 CWs enabling is very critical to SDM scheme based STxMP PUSCH transmission to obtain performance gain and ease MTRP deployment complexity.</w:t>
      </w:r>
    </w:p>
    <w:p>
      <w:pPr>
        <w:spacing w:before="108" w:after="108"/>
        <w:rPr>
          <w:rFonts w:eastAsia="宋体"/>
          <w:i/>
          <w:iCs/>
        </w:rPr>
      </w:pPr>
      <w:r>
        <w:rPr>
          <w:rFonts w:hint="eastAsia" w:eastAsia="宋体"/>
          <w:b/>
          <w:bCs/>
          <w:i/>
          <w:iCs/>
        </w:rPr>
        <w:t xml:space="preserve">Proposal 1: </w:t>
      </w:r>
      <w:r>
        <w:rPr>
          <w:rFonts w:hint="eastAsia" w:eastAsia="宋体"/>
          <w:i/>
          <w:iCs/>
        </w:rPr>
        <w:t>Support 2 CWs at least for single DCI based STxMP PUSCH SDM scheme when considering the performance gain as well as the practical MTRP deployment complexity mitigation.</w:t>
      </w:r>
    </w:p>
    <w:p>
      <w:pPr>
        <w:spacing w:before="288" w:beforeLines="80" w:after="108"/>
        <w:rPr>
          <w:rFonts w:eastAsia="宋体"/>
        </w:rPr>
      </w:pPr>
      <w:r>
        <w:rPr>
          <w:rFonts w:hint="eastAsia" w:eastAsia="宋体"/>
          <w:bCs/>
        </w:rPr>
        <w:t xml:space="preserve">Given that </w:t>
      </w:r>
      <w:r>
        <w:rPr>
          <w:rFonts w:hint="eastAsia"/>
        </w:rPr>
        <w:t xml:space="preserve">simultaneous uplink transmission in MTRP operation targets for different types of UE device (i.e., </w:t>
      </w:r>
      <w:r>
        <w:rPr>
          <w:bCs/>
        </w:rPr>
        <w:t>CPE</w:t>
      </w:r>
      <w:r>
        <w:rPr>
          <w:rFonts w:hint="eastAsia" w:eastAsia="宋体"/>
          <w:bCs/>
        </w:rPr>
        <w:t>,</w:t>
      </w:r>
      <w:r>
        <w:rPr>
          <w:bCs/>
        </w:rPr>
        <w:t>FWA</w:t>
      </w:r>
      <w:r>
        <w:rPr>
          <w:rFonts w:hint="eastAsia" w:eastAsia="宋体"/>
          <w:bCs/>
        </w:rPr>
        <w:t xml:space="preserve">, </w:t>
      </w:r>
      <w:r>
        <w:rPr>
          <w:bCs/>
        </w:rPr>
        <w:t>vehicle</w:t>
      </w:r>
      <w:r>
        <w:rPr>
          <w:rFonts w:hint="eastAsia" w:eastAsia="宋体"/>
          <w:bCs/>
        </w:rPr>
        <w:t xml:space="preserve">, </w:t>
      </w:r>
      <w:r>
        <w:rPr>
          <w:bCs/>
        </w:rPr>
        <w:t>industrial devices</w:t>
      </w:r>
      <w:r>
        <w:rPr>
          <w:rFonts w:hint="eastAsia"/>
        </w:rPr>
        <w:t xml:space="preserve">), it </w:t>
      </w:r>
      <w:r>
        <w:rPr>
          <w:rFonts w:hint="eastAsia" w:eastAsia="宋体"/>
        </w:rPr>
        <w:t xml:space="preserve">is </w:t>
      </w:r>
      <w:r>
        <w:rPr>
          <w:rFonts w:hint="eastAsia"/>
        </w:rPr>
        <w:t>beneficial to provide greater diversity for transmission schemes because of various MP-UE implementations.</w:t>
      </w:r>
      <w:r>
        <w:rPr>
          <w:rFonts w:hint="eastAsia" w:eastAsia="宋体"/>
        </w:rPr>
        <w:t xml:space="preserve"> In addition to SDM scheme, FDM-B scheme can be supported. </w:t>
      </w:r>
      <w:r>
        <w:rPr>
          <w:rFonts w:hint="eastAsia" w:eastAsia="宋体"/>
          <w:bCs/>
        </w:rPr>
        <w:t xml:space="preserve">For FDM-B scheme, two </w:t>
      </w:r>
      <w:r>
        <w:rPr>
          <w:rFonts w:hint="eastAsia"/>
        </w:rPr>
        <w:t>PUSCH</w:t>
      </w:r>
      <w:r>
        <w:rPr>
          <w:rFonts w:hint="eastAsia" w:eastAsia="宋体"/>
        </w:rPr>
        <w:t xml:space="preserve"> repetitions</w:t>
      </w:r>
      <w:r>
        <w:rPr>
          <w:rFonts w:hint="eastAsia"/>
        </w:rPr>
        <w:t xml:space="preserve"> </w:t>
      </w:r>
      <w:r>
        <w:rPr>
          <w:rFonts w:hint="eastAsia" w:eastAsia="宋体"/>
        </w:rPr>
        <w:t>can be</w:t>
      </w:r>
      <w:r>
        <w:rPr>
          <w:rFonts w:hint="eastAsia"/>
        </w:rPr>
        <w:t xml:space="preserve"> transmitted </w:t>
      </w:r>
      <w:r>
        <w:rPr>
          <w:rFonts w:hint="eastAsia" w:eastAsia="宋体"/>
        </w:rPr>
        <w:t xml:space="preserve">by </w:t>
      </w:r>
      <w:r>
        <w:rPr>
          <w:rFonts w:hint="eastAsia"/>
        </w:rPr>
        <w:t xml:space="preserve">two beams </w:t>
      </w:r>
      <w:r>
        <w:rPr>
          <w:rFonts w:hint="eastAsia" w:eastAsia="宋体"/>
        </w:rPr>
        <w:t xml:space="preserve">of </w:t>
      </w:r>
      <w:r>
        <w:rPr>
          <w:rFonts w:hint="eastAsia"/>
        </w:rPr>
        <w:t>different frequency domain</w:t>
      </w:r>
      <w:r>
        <w:rPr>
          <w:rFonts w:hint="eastAsia" w:eastAsia="宋体"/>
        </w:rPr>
        <w:t>s</w:t>
      </w:r>
      <w:r>
        <w:rPr>
          <w:rFonts w:hint="eastAsia"/>
        </w:rPr>
        <w:t xml:space="preserve"> but within the same time domain</w:t>
      </w:r>
      <w:r>
        <w:rPr>
          <w:rFonts w:hint="eastAsia" w:eastAsia="宋体"/>
        </w:rPr>
        <w:t xml:space="preserve"> and occupy the same transmission layers</w:t>
      </w:r>
      <w:r>
        <w:rPr>
          <w:rFonts w:hint="eastAsia"/>
        </w:rPr>
        <w:t xml:space="preserve">. Compared with SDM scheme, the most advantage of this scheme </w:t>
      </w:r>
      <w:r>
        <w:rPr>
          <w:rFonts w:hint="eastAsia" w:eastAsia="宋体"/>
        </w:rPr>
        <w:t xml:space="preserve">may be </w:t>
      </w:r>
      <w:r>
        <w:rPr>
          <w:rFonts w:hint="eastAsia"/>
        </w:rPr>
        <w:t>no inter-layer transmission interference</w:t>
      </w:r>
      <w:r>
        <w:rPr>
          <w:rFonts w:hint="eastAsia" w:eastAsia="宋体"/>
        </w:rPr>
        <w:t xml:space="preserve"> </w:t>
      </w:r>
      <w:r>
        <w:rPr>
          <w:rFonts w:hint="eastAsia"/>
        </w:rPr>
        <w:t xml:space="preserve">due to FDMed multiplexing. </w:t>
      </w:r>
      <w:r>
        <w:rPr>
          <w:rFonts w:hint="eastAsia" w:eastAsia="宋体"/>
        </w:rPr>
        <w:t xml:space="preserve">Besides, this scheme could reduce latency additionally when compared with Rel-17 TDM based MTRP PUSCH repetition scheme. </w:t>
      </w:r>
    </w:p>
    <w:p>
      <w:pPr>
        <w:spacing w:before="108" w:after="108"/>
      </w:pPr>
      <w:r>
        <w:rPr>
          <w:rFonts w:hint="eastAsia" w:eastAsia="宋体"/>
        </w:rPr>
        <w:t>Li</w:t>
      </w:r>
      <w:r>
        <w:rPr>
          <w:rFonts w:hint="eastAsia"/>
        </w:rPr>
        <w:t xml:space="preserve">nk level simulation is </w:t>
      </w:r>
      <w:r>
        <w:rPr>
          <w:rFonts w:hint="eastAsia" w:eastAsia="宋体"/>
        </w:rPr>
        <w:t xml:space="preserve">used </w:t>
      </w:r>
      <w:r>
        <w:t xml:space="preserve">to </w:t>
      </w:r>
      <w:r>
        <w:rPr>
          <w:rFonts w:hint="eastAsia"/>
        </w:rPr>
        <w:t>evaluate the performance of SDM and FDM based STxMP PUSCH repetition schemes</w:t>
      </w:r>
      <w:r>
        <w:t xml:space="preserve"> over </w:t>
      </w:r>
      <w:r>
        <w:rPr>
          <w:rFonts w:hint="eastAsia"/>
        </w:rPr>
        <w:t xml:space="preserve">Rel-17 TDM based MTRP PUSCH repetition scheme (a.k.a option 1 baseline scheme in EVM assumption). Where, the </w:t>
      </w:r>
      <w:r>
        <w:rPr>
          <w:rFonts w:hint="eastAsia" w:eastAsia="宋体"/>
        </w:rPr>
        <w:t>blockage is set to 6 dB p</w:t>
      </w:r>
      <w:r>
        <w:rPr>
          <w:rFonts w:hint="eastAsia"/>
        </w:rPr>
        <w:t xml:space="preserve">ower offset with 10% probability between two TRPs, and the max UE Tx power is set to max TRP of 23 dBm and max EIRP 43 dBm of two panels (a.k.a option 1 </w:t>
      </w:r>
      <w:r>
        <w:rPr>
          <w:rFonts w:hint="eastAsia"/>
          <w:lang w:eastAsia="ko-KR"/>
        </w:rPr>
        <w:t>Maximum UE Tx Power</w:t>
      </w:r>
      <w:r>
        <w:rPr>
          <w:rFonts w:hint="eastAsia"/>
        </w:rPr>
        <w:t xml:space="preserve"> in EVM assumption). Besides, panel-specific TPMI indication and spatial indication are enabled. Other simulation parameters can be found in Table </w:t>
      </w:r>
      <w:r>
        <w:rPr>
          <w:rFonts w:hint="eastAsia" w:eastAsia="宋体"/>
        </w:rPr>
        <w:t>B</w:t>
      </w:r>
      <w:r>
        <w:rPr>
          <w:rFonts w:hint="eastAsia"/>
        </w:rPr>
        <w:t xml:space="preserve"> in Appendix and also abide by the EVM assumption that agreed in RAN1#109-e meeting</w:t>
      </w:r>
      <w:r>
        <w:rPr>
          <w:rFonts w:hint="eastAsia" w:eastAsia="宋体"/>
        </w:rPr>
        <w:t xml:space="preserve"> [2]</w:t>
      </w:r>
      <w:r>
        <w:rPr>
          <w:rFonts w:hint="eastAsia"/>
        </w:rPr>
        <w:t>.</w:t>
      </w:r>
    </w:p>
    <w:p>
      <w:pPr>
        <w:spacing w:before="108" w:after="108"/>
        <w:jc w:val="center"/>
        <w:rPr>
          <w:rFonts w:eastAsia="宋体"/>
        </w:rPr>
      </w:pPr>
      <w:r>
        <w:rPr>
          <w:rFonts w:eastAsia="宋体"/>
        </w:rPr>
        <w:drawing>
          <wp:inline distT="0" distB="0" distL="0" distR="0">
            <wp:extent cx="3862705" cy="2657475"/>
            <wp:effectExtent l="0" t="0" r="825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862705" cy="2657475"/>
                    </a:xfrm>
                    <a:prstGeom prst="rect">
                      <a:avLst/>
                    </a:prstGeom>
                  </pic:spPr>
                </pic:pic>
              </a:graphicData>
            </a:graphic>
          </wp:inline>
        </w:drawing>
      </w:r>
    </w:p>
    <w:p>
      <w:pPr>
        <w:spacing w:before="108" w:after="108"/>
        <w:jc w:val="center"/>
      </w:pPr>
      <w:r>
        <w:rPr>
          <w:rFonts w:hint="eastAsia"/>
          <w:b/>
          <w:bCs/>
        </w:rPr>
        <w:t xml:space="preserve">Figure </w:t>
      </w:r>
      <w:r>
        <w:rPr>
          <w:rFonts w:hint="eastAsia" w:eastAsia="宋体"/>
          <w:b/>
          <w:bCs/>
        </w:rPr>
        <w:t>2</w:t>
      </w:r>
      <w:r>
        <w:rPr>
          <w:rFonts w:hint="eastAsia"/>
        </w:rPr>
        <w:t xml:space="preserve">  BLER performance results of TDM/SDM/FDM based MTRP PUSCH repetition scheme</w:t>
      </w:r>
    </w:p>
    <w:p>
      <w:pPr>
        <w:spacing w:before="108" w:after="108"/>
      </w:pPr>
      <w:r>
        <w:rPr>
          <w:rFonts w:hint="eastAsia"/>
        </w:rPr>
        <w:t xml:space="preserve">Figure </w:t>
      </w:r>
      <w:r>
        <w:rPr>
          <w:rFonts w:hint="eastAsia" w:eastAsia="宋体"/>
        </w:rPr>
        <w:t>2</w:t>
      </w:r>
      <w:r>
        <w:rPr>
          <w:rFonts w:hint="eastAsia"/>
        </w:rPr>
        <w:t xml:space="preserve"> illustrates </w:t>
      </w:r>
      <w:r>
        <w:rPr>
          <w:rFonts w:hint="eastAsia" w:eastAsia="宋体"/>
        </w:rPr>
        <w:t xml:space="preserve">the </w:t>
      </w:r>
      <w:r>
        <w:rPr>
          <w:rFonts w:hint="eastAsia"/>
        </w:rPr>
        <w:t xml:space="preserve">BLER performance of both SDM scheme and FDM scheme is quite close to TDM scheme to improve uplink reliability. As the aforementioned analysis, it </w:t>
      </w:r>
      <w:r>
        <w:t>is</w:t>
      </w:r>
      <w:r>
        <w:rPr>
          <w:rFonts w:hint="eastAsia"/>
        </w:rPr>
        <w:t xml:space="preserve"> noted that SDM and FDM enabled multi-panel UE could </w:t>
      </w:r>
      <w:r>
        <w:t>reduce</w:t>
      </w:r>
      <w:r>
        <w:rPr>
          <w:rFonts w:hint="eastAsia"/>
        </w:rPr>
        <w:t xml:space="preserve"> </w:t>
      </w:r>
      <w:r>
        <w:t xml:space="preserve">latency </w:t>
      </w:r>
      <w:r>
        <w:rPr>
          <w:rFonts w:hint="eastAsia" w:eastAsia="宋体"/>
        </w:rPr>
        <w:t xml:space="preserve">additionally when </w:t>
      </w:r>
      <w:r>
        <w:t>compared with</w:t>
      </w:r>
      <w:r>
        <w:rPr>
          <w:rFonts w:hint="eastAsia"/>
        </w:rPr>
        <w:t xml:space="preserve"> TDM scheme.</w:t>
      </w:r>
    </w:p>
    <w:p>
      <w:pPr>
        <w:spacing w:before="108" w:after="108"/>
        <w:rPr>
          <w:rFonts w:eastAsia="宋体"/>
          <w:i/>
          <w:iCs/>
        </w:rPr>
      </w:pPr>
      <w:r>
        <w:rPr>
          <w:rFonts w:hint="eastAsia" w:eastAsia="宋体"/>
          <w:b/>
          <w:bCs/>
          <w:i/>
          <w:iCs/>
        </w:rPr>
        <w:t>Proposal 2:</w:t>
      </w:r>
      <w:r>
        <w:rPr>
          <w:rFonts w:hint="eastAsia" w:eastAsia="宋体"/>
          <w:i/>
          <w:iCs/>
        </w:rPr>
        <w:t xml:space="preserve"> Support FDM-B scheme for single DCI based STxMP PUSCH transmission when considering the performance gain of transmission reliability</w:t>
      </w:r>
      <w:r>
        <w:rPr>
          <w:rFonts w:hint="eastAsia" w:eastAsia="宋体"/>
          <w:i/>
          <w:iCs/>
          <w:lang w:val="en-US" w:eastAsia="zh-CN"/>
        </w:rPr>
        <w:t xml:space="preserve">, </w:t>
      </w:r>
      <w:r>
        <w:rPr>
          <w:rFonts w:hint="eastAsia" w:eastAsia="宋体"/>
          <w:i/>
          <w:iCs/>
        </w:rPr>
        <w:t>latency reduction</w:t>
      </w:r>
      <w:r>
        <w:rPr>
          <w:rFonts w:hint="eastAsia" w:eastAsia="宋体"/>
          <w:i/>
          <w:iCs/>
          <w:lang w:val="en-US" w:eastAsia="zh-CN"/>
        </w:rPr>
        <w:t>, and</w:t>
      </w:r>
      <w:r>
        <w:rPr>
          <w:rFonts w:hint="eastAsia" w:eastAsia="宋体"/>
          <w:i/>
          <w:iCs/>
        </w:rPr>
        <w:t xml:space="preserve"> the diversity of transmission scheme for MP-UE implementation.</w:t>
      </w:r>
    </w:p>
    <w:p>
      <w:pPr>
        <w:pStyle w:val="3"/>
        <w:spacing w:before="360" w:beforeLines="100" w:after="180"/>
        <w:ind w:left="431" w:hanging="431"/>
        <w:rPr>
          <w:lang w:val="en-US"/>
        </w:rPr>
      </w:pPr>
      <w:r>
        <w:rPr>
          <w:rFonts w:hint="eastAsia"/>
          <w:lang w:val="en-US"/>
        </w:rPr>
        <w:t>Precoder and rank indication</w:t>
      </w:r>
    </w:p>
    <w:p>
      <w:pPr>
        <w:spacing w:before="108" w:after="108"/>
      </w:pPr>
      <w:r>
        <w:rPr>
          <w:rFonts w:hint="eastAsia" w:eastAsia="宋体"/>
        </w:rPr>
        <w:t>On precoder and rank indication for single DCI based STxMP PUSCH transmission, the following agreements were reached in previous RAN1 meetings [2, 3].</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5"/>
              <w:spacing w:before="108" w:after="108"/>
              <w:rPr>
                <w:rFonts w:ascii="Times New Roman" w:hAnsi="Times New Roman" w:cs="Times New Roman"/>
                <w:sz w:val="20"/>
                <w:szCs w:val="20"/>
                <w:u w:val="single"/>
              </w:rPr>
            </w:pPr>
            <w:r>
              <w:rPr>
                <w:rFonts w:ascii="Times New Roman" w:hAnsi="Times New Roman" w:cs="Times New Roman"/>
                <w:b/>
                <w:bCs/>
                <w:sz w:val="20"/>
                <w:szCs w:val="20"/>
                <w:u w:val="single"/>
              </w:rPr>
              <w:t>Agreement</w:t>
            </w:r>
          </w:p>
          <w:p>
            <w:pPr>
              <w:pStyle w:val="25"/>
              <w:spacing w:before="108" w:after="108"/>
              <w:rPr>
                <w:rFonts w:ascii="Times New Roman" w:hAnsi="Times New Roman" w:cs="Times New Roman"/>
                <w:sz w:val="20"/>
                <w:szCs w:val="20"/>
              </w:rPr>
            </w:pPr>
            <w:r>
              <w:rPr>
                <w:rFonts w:ascii="Times New Roman" w:hAnsi="Times New Roman" w:cs="Times New Roman"/>
                <w:sz w:val="20"/>
                <w:szCs w:val="20"/>
              </w:rPr>
              <w:t>Study the enhancement of SRS resource set configuration and SRI/TPMI indication for single-DCI based STxMP PUSCH scheme:</w:t>
            </w:r>
          </w:p>
          <w:p>
            <w:pPr>
              <w:pStyle w:val="25"/>
              <w:numPr>
                <w:ilvl w:val="0"/>
                <w:numId w:val="13"/>
              </w:numPr>
              <w:spacing w:before="108" w:after="108"/>
              <w:rPr>
                <w:rFonts w:ascii="Times New Roman" w:hAnsi="Times New Roman" w:cs="Times New Roman"/>
                <w:sz w:val="20"/>
                <w:szCs w:val="20"/>
              </w:rPr>
            </w:pPr>
            <w:r>
              <w:rPr>
                <w:rFonts w:ascii="Times New Roman" w:hAnsi="Times New Roman" w:cs="Times New Roman"/>
                <w:sz w:val="20"/>
                <w:szCs w:val="20"/>
              </w:rPr>
              <w:t>The configuration of two SRS resource sets, SRS resource set indicator field, two SRI fields and two TPMI fields of Rel-17 mTRP PUSCH TDM repetition is the starting point.</w:t>
            </w:r>
          </w:p>
          <w:p>
            <w:pPr>
              <w:pStyle w:val="25"/>
              <w:numPr>
                <w:ilvl w:val="0"/>
                <w:numId w:val="13"/>
              </w:numPr>
              <w:spacing w:before="108" w:after="108"/>
              <w:rPr>
                <w:rFonts w:ascii="Times New Roman" w:hAnsi="Times New Roman" w:cs="Times New Roman"/>
                <w:sz w:val="20"/>
                <w:szCs w:val="20"/>
              </w:rPr>
            </w:pPr>
            <w:r>
              <w:rPr>
                <w:rFonts w:ascii="Times New Roman" w:hAnsi="Times New Roman" w:cs="Times New Roman"/>
                <w:sz w:val="20"/>
                <w:szCs w:val="20"/>
              </w:rPr>
              <w:t>FFS: The configuration of one SRS resource set, one or two SRI fields and one or two TPMI fields</w:t>
            </w:r>
          </w:p>
          <w:p>
            <w:pPr>
              <w:spacing w:before="108" w:after="108"/>
              <w:rPr>
                <w:szCs w:val="20"/>
              </w:rPr>
            </w:pPr>
            <w:r>
              <w:rPr>
                <w:szCs w:val="20"/>
              </w:rPr>
              <w:t>Note: This proposal does not mean that any possible SRI/TPMI enhancement on STxMP would be precluded. In RAN1#110, companies can suggest the detail SRI/TPMI enhancement with reasonable analysis and evaluation result.</w:t>
            </w:r>
          </w:p>
          <w:p>
            <w:pPr>
              <w:spacing w:before="108" w:after="108"/>
              <w:rPr>
                <w:szCs w:val="20"/>
              </w:rPr>
            </w:pPr>
          </w:p>
          <w:p>
            <w:pPr>
              <w:spacing w:before="108" w:after="108"/>
              <w:rPr>
                <w:rFonts w:eastAsia="宋体"/>
                <w:szCs w:val="20"/>
              </w:rPr>
            </w:pPr>
            <w:r>
              <w:rPr>
                <w:b/>
                <w:bCs/>
                <w:szCs w:val="20"/>
                <w:u w:val="single"/>
              </w:rPr>
              <w:t>Agreement</w:t>
            </w:r>
          </w:p>
          <w:p>
            <w:pPr>
              <w:spacing w:before="108" w:after="108"/>
              <w:rPr>
                <w:szCs w:val="20"/>
              </w:rPr>
            </w:pPr>
            <w:r>
              <w:rPr>
                <w:szCs w:val="20"/>
              </w:rPr>
              <w:t xml:space="preserve">For single-DCI based STxMP PUSCH SDM scheme, support the layer combinations of {1+1, 1+2, 2+1 and 2+2} </w:t>
            </w:r>
            <w:r>
              <w:rPr>
                <w:strike/>
                <w:szCs w:val="20"/>
              </w:rPr>
              <w:t>for single CW case</w:t>
            </w:r>
            <w:r>
              <w:rPr>
                <w:szCs w:val="20"/>
              </w:rPr>
              <w:t xml:space="preserve">. </w:t>
            </w:r>
          </w:p>
          <w:p>
            <w:pPr>
              <w:pStyle w:val="50"/>
              <w:numPr>
                <w:ilvl w:val="0"/>
                <w:numId w:val="14"/>
              </w:numPr>
              <w:spacing w:before="108" w:after="108"/>
              <w:ind w:leftChars="0"/>
              <w:contextualSpacing/>
              <w:rPr>
                <w:rFonts w:ascii="Times New Roman" w:hAnsi="Times New Roman"/>
                <w:szCs w:val="20"/>
              </w:rPr>
            </w:pPr>
            <w:r>
              <w:rPr>
                <w:rFonts w:ascii="Times New Roman" w:hAnsi="Times New Roman"/>
                <w:szCs w:val="20"/>
              </w:rPr>
              <w:t>FFS on layer combinations of {1+3} and {3+1} considering the performance gain, system/UE complexity, specification efforts, etc.</w:t>
            </w:r>
          </w:p>
          <w:p>
            <w:pPr>
              <w:pStyle w:val="50"/>
              <w:numPr>
                <w:ilvl w:val="0"/>
                <w:numId w:val="14"/>
              </w:numPr>
              <w:spacing w:before="108" w:after="108"/>
              <w:ind w:leftChars="0"/>
              <w:contextualSpacing/>
              <w:rPr>
                <w:rFonts w:ascii="Times New Roman" w:hAnsi="Times New Roman"/>
                <w:szCs w:val="20"/>
              </w:rPr>
            </w:pPr>
            <w:r>
              <w:rPr>
                <w:rFonts w:ascii="Times New Roman" w:hAnsi="Times New Roman"/>
                <w:szCs w:val="20"/>
              </w:rPr>
              <w:t xml:space="preserve">FFS: the option of using layer combination of 0+n and n+0 for dynamic switch between single-panel and STxMP (n=1 or 2, 3 or 4). </w:t>
            </w:r>
          </w:p>
          <w:p>
            <w:pPr>
              <w:pStyle w:val="50"/>
              <w:numPr>
                <w:ilvl w:val="0"/>
                <w:numId w:val="14"/>
              </w:numPr>
              <w:spacing w:before="108" w:after="108"/>
              <w:ind w:leftChars="0"/>
              <w:contextualSpacing/>
              <w:rPr>
                <w:rFonts w:cs="Times"/>
                <w:szCs w:val="20"/>
                <w:lang w:val="en-US"/>
              </w:rPr>
            </w:pPr>
            <w:r>
              <w:rPr>
                <w:rFonts w:ascii="Times New Roman" w:hAnsi="Times New Roman"/>
                <w:szCs w:val="20"/>
              </w:rPr>
              <w:t>This applies to SDM with 1 CW at least.</w:t>
            </w:r>
          </w:p>
        </w:tc>
      </w:tr>
    </w:tbl>
    <w:p>
      <w:pPr>
        <w:spacing w:before="108" w:after="108"/>
      </w:pPr>
      <w:r>
        <w:rPr>
          <w:rFonts w:hint="eastAsia"/>
        </w:rPr>
        <w:t>Basically, two TPMI fields and SRI fields can be introduced to single DCI based STxMP PUSCH transmission scheme, and two SRS resource sets are configured for STxMP PUSCH transmission. Given that the precoder is indicated by TPMI field for CB PUSCH and SRI field for NCB PUSCH respectively, the indication methods in these two cases will be discussed separately below.</w:t>
      </w:r>
    </w:p>
    <w:p>
      <w:pPr>
        <w:spacing w:before="108" w:after="108"/>
      </w:pPr>
      <w:r>
        <w:rPr>
          <w:rFonts w:hint="eastAsia"/>
        </w:rPr>
        <w:t>In the case of CB PUSCH, the following alternatives can be taken into consideration to facilitate this feature:</w:t>
      </w:r>
    </w:p>
    <w:p>
      <w:pPr>
        <w:numPr>
          <w:ilvl w:val="0"/>
          <w:numId w:val="12"/>
        </w:numPr>
        <w:spacing w:before="108" w:after="108"/>
      </w:pPr>
      <w:r>
        <w:rPr>
          <w:rFonts w:hint="eastAsia" w:eastAsia="宋体"/>
        </w:rPr>
        <w:t>Alt 1: The first or the second TPMI field indicates TPMI index and rank jointly per panel, which is based on Rel-15/16 framework (Tables 7.3.1.1.2-2/2A/2B/3/3A/4/4A/5/5A in TS 38.212). The first and second TPMI fields are associated with the first and the second SRS resource sets, respectively.</w:t>
      </w:r>
    </w:p>
    <w:p>
      <w:pPr>
        <w:numPr>
          <w:ilvl w:val="0"/>
          <w:numId w:val="12"/>
        </w:numPr>
        <w:spacing w:before="108" w:after="108"/>
      </w:pPr>
      <w:r>
        <w:rPr>
          <w:rFonts w:hint="eastAsia"/>
        </w:rPr>
        <w:t xml:space="preserve">Alt 2: </w:t>
      </w:r>
      <w:r>
        <w:rPr>
          <w:rFonts w:hint="eastAsia" w:eastAsia="宋体"/>
        </w:rPr>
        <w:t>The first or the second TPMI field indicates TPMI index only per panel, which is based on Rel-17 framework of the second TPMI field (Tables 7.3.1.1.2-2C/2D/2E/3/3A/4B/4C/5/5A in TS 38.212). The number of layers of each PUSCH can be derived from other field in DCI. The first and second TPMI fields are associated with the first and the second SRS resource sets, respectively.</w:t>
      </w:r>
    </w:p>
    <w:p>
      <w:pPr>
        <w:numPr>
          <w:ilvl w:val="0"/>
          <w:numId w:val="12"/>
        </w:numPr>
        <w:spacing w:before="108" w:after="108"/>
      </w:pPr>
      <w:r>
        <w:rPr>
          <w:rFonts w:hint="eastAsia"/>
        </w:rPr>
        <w:t xml:space="preserve">Alt 3: </w:t>
      </w:r>
      <w:r>
        <w:rPr>
          <w:rFonts w:hint="eastAsia" w:eastAsia="宋体"/>
        </w:rPr>
        <w:t>The first TPMI field indicates TPMI index and rank jointly, which is based on Rel-15/16 framework (Tables 7.3.1.1.2-2/2A/2B/3/3A/4/4A/5/5A in TS 38.212). The second field indicates TPMI index only, which is based on Rel-17 framework of the second TPMI field (Tables 7.3.1.1.2-2C/2D/2E/3/3A/4B/4C/5/5A in TS 38.212). The number of layers of the second PUSCH can be derived from the indicated layer number in the first TPMI field and other field in DCI. The first TPMI field is associated with the SRS resource set of the STxMP PUSCH transmission with higher configured maximum rank, the second TPMI field is associated with the other SRS resource set.</w:t>
      </w:r>
    </w:p>
    <w:p>
      <w:pPr>
        <w:spacing w:before="108" w:after="108"/>
        <w:rPr>
          <w:rFonts w:eastAsia="宋体"/>
          <w:szCs w:val="20"/>
        </w:rPr>
      </w:pPr>
      <w:r>
        <w:rPr>
          <w:rFonts w:hint="eastAsia"/>
        </w:rPr>
        <w:t>For Alt 1, it is a straightforward way and which is in line with the legacy rule in Rel-15/16 that precoder and rank of each STxMP PUSCH transmission can be indicated together by its TPMI field. It could be noticed that the total overhead of two TPMI fields cannot be reduced in this solution, nevertheless, the indication of layer combination can be saved due to it</w:t>
      </w:r>
      <w:r>
        <w:rPr>
          <w:rFonts w:hint="eastAsia" w:eastAsia="宋体"/>
          <w:szCs w:val="20"/>
        </w:rPr>
        <w:t xml:space="preserve"> can be derived from the first and the second TPMI fields. Besides, when it comes to dynamic switching between single-panel PUSCH transmission and STxMP PUSCH transmissions, one reserved or additional codepoint in the first or the second TPMI field can be used to indicate this switching. For instance, as shown in the following Table 7.3.1.1.2-5 in TS 38.212, one reserved codepoint of indexes 6-7 in case of </w:t>
      </w:r>
      <w:r>
        <w:rPr>
          <w:i/>
        </w:rPr>
        <w:t>codebookSubset</w:t>
      </w:r>
      <w:r>
        <w:rPr>
          <w:rFonts w:hint="eastAsia"/>
        </w:rPr>
        <w:t xml:space="preserve"> = </w:t>
      </w:r>
      <w:r>
        <w:rPr>
          <w:i/>
        </w:rPr>
        <w:t>fullyAndPartialAndNonCoherent</w:t>
      </w:r>
      <w:r>
        <w:rPr>
          <w:rFonts w:hint="eastAsia"/>
          <w:i/>
        </w:rPr>
        <w:t xml:space="preserve"> </w:t>
      </w:r>
      <w:r>
        <w:rPr>
          <w:rFonts w:hint="eastAsia" w:eastAsia="宋体"/>
          <w:szCs w:val="20"/>
        </w:rPr>
        <w:t xml:space="preserve">can be used to indicate this TPMI field is unused when the single-panel PUSCH transmission is associated with another SRS resource set. Likewise, one additional codepoint of indexes 2-3 in case of </w:t>
      </w:r>
      <w:r>
        <w:rPr>
          <w:i/>
        </w:rPr>
        <w:t>codebookSubset</w:t>
      </w:r>
      <w:r>
        <w:rPr>
          <w:rFonts w:hint="eastAsia"/>
        </w:rPr>
        <w:t xml:space="preserve"> = </w:t>
      </w:r>
      <w:r>
        <w:rPr>
          <w:rFonts w:hint="eastAsia"/>
          <w:i/>
        </w:rPr>
        <w:t>n</w:t>
      </w:r>
      <w:r>
        <w:rPr>
          <w:i/>
        </w:rPr>
        <w:t>onCoherent</w:t>
      </w:r>
      <w:r>
        <w:rPr>
          <w:rFonts w:hint="eastAsia"/>
          <w:i/>
        </w:rPr>
        <w:t xml:space="preserve"> </w:t>
      </w:r>
      <w:r>
        <w:rPr>
          <w:rFonts w:hint="eastAsia" w:eastAsia="宋体"/>
          <w:szCs w:val="20"/>
        </w:rPr>
        <w:t xml:space="preserve">can be used to indicate this TPMI field is unused. Although one bit needs to be introduced in cases of </w:t>
      </w:r>
      <w:r>
        <w:rPr>
          <w:rFonts w:eastAsia="宋体"/>
          <w:szCs w:val="20"/>
        </w:rPr>
        <w:t>“</w:t>
      </w:r>
      <w:r>
        <w:rPr>
          <w:rFonts w:hint="eastAsia" w:eastAsia="宋体"/>
          <w:szCs w:val="20"/>
        </w:rPr>
        <w:t>one additional codepoint calls</w:t>
      </w:r>
      <w:r>
        <w:rPr>
          <w:rFonts w:eastAsia="宋体"/>
          <w:szCs w:val="20"/>
        </w:rPr>
        <w:t>”</w:t>
      </w:r>
      <w:r>
        <w:rPr>
          <w:rFonts w:hint="eastAsia" w:eastAsia="宋体"/>
          <w:szCs w:val="20"/>
        </w:rPr>
        <w:t>, the current SRS resource set indicator field with 2 bits is not needed anymore and can be saved correspondingly.</w:t>
      </w:r>
    </w:p>
    <w:p>
      <w:pPr>
        <w:pStyle w:val="37"/>
        <w:overflowPunct w:val="0"/>
        <w:autoSpaceDE w:val="0"/>
        <w:autoSpaceDN w:val="0"/>
        <w:spacing w:before="108" w:after="108"/>
        <w:textAlignment w:val="baseline"/>
        <w:rPr>
          <w:lang w:eastAsia="zh-CN"/>
        </w:rPr>
      </w:pPr>
      <w:r>
        <w:t xml:space="preserve">Table </w:t>
      </w:r>
      <w:r>
        <w:rPr>
          <w:rFonts w:hint="eastAsia"/>
          <w:lang w:eastAsia="zh-CN"/>
        </w:rPr>
        <w:t>7.3.1.1.2</w:t>
      </w:r>
      <w:r>
        <w:t>-</w:t>
      </w:r>
      <w:r>
        <w:rPr>
          <w:rFonts w:hint="eastAsia"/>
          <w:lang w:eastAsia="zh-CN"/>
        </w:rPr>
        <w:t xml:space="preserve">5: </w:t>
      </w:r>
      <w:r>
        <w:t>Precoding information and number of layers or Second Precoding information</w:t>
      </w:r>
      <w:r>
        <w:rPr>
          <w:rFonts w:hint="eastAsia"/>
          <w:lang w:eastAsia="zh-CN"/>
        </w:rPr>
        <w:t xml:space="preserve">, for 2 antenna ports, if </w:t>
      </w:r>
      <w:r>
        <w:t>transform</w:t>
      </w:r>
      <w:r>
        <w:rPr>
          <w:rFonts w:hint="eastAsia"/>
          <w:lang w:eastAsia="zh-CN"/>
        </w:rPr>
        <w:t xml:space="preserve"> p</w:t>
      </w:r>
      <w:r>
        <w:t>recoder</w:t>
      </w:r>
      <w:r>
        <w:rPr>
          <w:rFonts w:hint="eastAsia"/>
          <w:lang w:eastAsia="zh-CN"/>
        </w:rPr>
        <w:t xml:space="preserve"> is</w:t>
      </w:r>
      <w:r>
        <w:rPr>
          <w:lang w:eastAsia="zh-CN"/>
        </w:rPr>
        <w:t xml:space="preserve"> enabled</w:t>
      </w:r>
      <w:r>
        <w:rPr>
          <w:rFonts w:hint="eastAsia"/>
          <w:lang w:eastAsia="zh-CN"/>
        </w:rPr>
        <w:t xml:space="preserve"> and</w:t>
      </w:r>
      <w:r>
        <w:rPr>
          <w:i/>
          <w:iCs/>
          <w:lang w:eastAsia="zh-CN"/>
        </w:rPr>
        <w:t xml:space="preserve"> </w:t>
      </w:r>
      <w:r>
        <w:rPr>
          <w:i/>
          <w:iCs/>
        </w:rPr>
        <w:t xml:space="preserve">ul-FullPowerTransmission </w:t>
      </w:r>
      <w:r>
        <w:rPr>
          <w:iCs/>
          <w:lang w:eastAsia="zh-CN"/>
        </w:rPr>
        <w:t>is</w:t>
      </w:r>
      <w:r>
        <w:rPr>
          <w:rFonts w:hint="eastAsia"/>
          <w:iCs/>
          <w:lang w:eastAsia="zh-CN"/>
        </w:rPr>
        <w:t xml:space="preserve"> </w:t>
      </w:r>
      <w:r>
        <w:rPr>
          <w:iCs/>
          <w:lang w:eastAsia="zh-CN"/>
        </w:rPr>
        <w:t xml:space="preserve">not configured or configured to </w:t>
      </w:r>
      <w:r>
        <w:rPr>
          <w:i/>
          <w:iCs/>
        </w:rPr>
        <w:t>fullpowerMode</w:t>
      </w:r>
      <w:r>
        <w:rPr>
          <w:i/>
          <w:iCs/>
          <w:lang w:eastAsia="zh-CN"/>
        </w:rPr>
        <w:t xml:space="preserve">2 </w:t>
      </w:r>
      <w:r>
        <w:rPr>
          <w:iCs/>
          <w:lang w:eastAsia="zh-CN"/>
        </w:rPr>
        <w:t xml:space="preserve">or configured to </w:t>
      </w:r>
      <w:r>
        <w:rPr>
          <w:i/>
          <w:iCs/>
        </w:rPr>
        <w:t>fullpower</w:t>
      </w:r>
      <w:r>
        <w:rPr>
          <w:rFonts w:hint="eastAsia"/>
          <w:lang w:eastAsia="zh-CN"/>
        </w:rPr>
        <w:t xml:space="preserve">, or if </w:t>
      </w:r>
      <w:r>
        <w:t>transform</w:t>
      </w:r>
      <w:r>
        <w:rPr>
          <w:rFonts w:hint="eastAsia"/>
          <w:lang w:eastAsia="zh-CN"/>
        </w:rPr>
        <w:t xml:space="preserve"> p</w:t>
      </w:r>
      <w:r>
        <w:t>recoder</w:t>
      </w:r>
      <w:r>
        <w:rPr>
          <w:rFonts w:hint="eastAsia"/>
          <w:lang w:eastAsia="zh-CN"/>
        </w:rPr>
        <w:t xml:space="preserve"> is</w:t>
      </w:r>
      <w:r>
        <w:rPr>
          <w:lang w:eastAsia="zh-CN"/>
        </w:rPr>
        <w:t xml:space="preserve"> disabled,</w:t>
      </w:r>
      <w:r>
        <w:rPr>
          <w:i/>
          <w:iCs/>
          <w:lang w:eastAsia="zh-CN"/>
        </w:rPr>
        <w:t xml:space="preserve"> maxRank</w:t>
      </w:r>
      <w:r>
        <w:rPr>
          <w:rFonts w:hint="eastAsia"/>
          <w:iCs/>
          <w:lang w:eastAsia="zh-CN"/>
        </w:rPr>
        <w:t xml:space="preserve"> = 1, and and </w:t>
      </w:r>
      <w:r>
        <w:rPr>
          <w:i/>
          <w:iCs/>
        </w:rPr>
        <w:t xml:space="preserve">ul-FullPowerTransmission </w:t>
      </w:r>
      <w:r>
        <w:rPr>
          <w:iCs/>
          <w:lang w:eastAsia="zh-CN"/>
        </w:rPr>
        <w:t>is</w:t>
      </w:r>
      <w:r>
        <w:rPr>
          <w:rFonts w:hint="eastAsia"/>
          <w:iCs/>
          <w:lang w:eastAsia="zh-CN"/>
        </w:rPr>
        <w:t xml:space="preserve"> </w:t>
      </w:r>
      <w:r>
        <w:rPr>
          <w:iCs/>
          <w:lang w:eastAsia="zh-CN"/>
        </w:rPr>
        <w:t xml:space="preserve">not configured or configured to </w:t>
      </w:r>
      <w:r>
        <w:rPr>
          <w:i/>
          <w:iCs/>
        </w:rPr>
        <w:t>fullpowerMode</w:t>
      </w:r>
      <w:r>
        <w:rPr>
          <w:i/>
          <w:iCs/>
          <w:lang w:eastAsia="zh-CN"/>
        </w:rPr>
        <w:t xml:space="preserve">2 </w:t>
      </w:r>
      <w:r>
        <w:rPr>
          <w:iCs/>
          <w:lang w:eastAsia="zh-CN"/>
        </w:rPr>
        <w:t xml:space="preserve">or configured to </w:t>
      </w:r>
      <w:r>
        <w:rPr>
          <w:i/>
          <w:iCs/>
        </w:rPr>
        <w:t>fullpower</w:t>
      </w:r>
    </w:p>
    <w:tbl>
      <w:tblPr>
        <w:tblStyle w:val="27"/>
        <w:tblW w:w="63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1"/>
        <w:gridCol w:w="2758"/>
        <w:gridCol w:w="899"/>
        <w:gridCol w:w="1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891" w:type="dxa"/>
            <w:shd w:val="clear" w:color="auto" w:fill="D9D9D9"/>
            <w:vAlign w:val="center"/>
          </w:tcPr>
          <w:p>
            <w:pPr>
              <w:pStyle w:val="44"/>
              <w:spacing w:before="108" w:after="108"/>
              <w:rPr>
                <w:lang w:eastAsia="zh-CN"/>
              </w:rPr>
            </w:pPr>
            <w:r>
              <w:rPr>
                <w:lang w:eastAsia="zh-CN"/>
              </w:rPr>
              <w:t>Bit field mapped to index</w:t>
            </w:r>
          </w:p>
        </w:tc>
        <w:tc>
          <w:tcPr>
            <w:tcW w:w="2758" w:type="dxa"/>
            <w:shd w:val="clear" w:color="auto" w:fill="D9D9D9"/>
            <w:vAlign w:val="center"/>
          </w:tcPr>
          <w:p>
            <w:pPr>
              <w:pStyle w:val="44"/>
              <w:spacing w:before="108" w:after="108"/>
              <w:rPr>
                <w:lang w:eastAsia="zh-CN"/>
              </w:rPr>
            </w:pPr>
            <w:r>
              <w:rPr>
                <w:i/>
                <w:lang w:eastAsia="zh-CN"/>
              </w:rPr>
              <w:t>codebookSubset</w:t>
            </w:r>
            <w:r>
              <w:rPr>
                <w:rFonts w:hint="eastAsia"/>
                <w:lang w:eastAsia="zh-CN"/>
              </w:rPr>
              <w:t xml:space="preserve"> = </w:t>
            </w:r>
            <w:r>
              <w:rPr>
                <w:i/>
                <w:lang w:eastAsia="zh-CN"/>
              </w:rPr>
              <w:t>fullyAndPartialAndNonCoherent</w:t>
            </w:r>
          </w:p>
        </w:tc>
        <w:tc>
          <w:tcPr>
            <w:tcW w:w="899" w:type="dxa"/>
            <w:shd w:val="clear" w:color="auto" w:fill="D9D9D9"/>
            <w:vAlign w:val="center"/>
          </w:tcPr>
          <w:p>
            <w:pPr>
              <w:pStyle w:val="44"/>
              <w:spacing w:before="108" w:after="108"/>
              <w:rPr>
                <w:lang w:eastAsia="zh-CN"/>
              </w:rPr>
            </w:pPr>
            <w:r>
              <w:rPr>
                <w:lang w:eastAsia="zh-CN"/>
              </w:rPr>
              <w:t>Bit field mapped to index</w:t>
            </w:r>
          </w:p>
        </w:tc>
        <w:tc>
          <w:tcPr>
            <w:tcW w:w="1758" w:type="dxa"/>
            <w:shd w:val="clear" w:color="auto" w:fill="D9D9D9"/>
            <w:vAlign w:val="center"/>
          </w:tcPr>
          <w:p>
            <w:pPr>
              <w:pStyle w:val="44"/>
              <w:spacing w:before="108" w:after="108"/>
              <w:rPr>
                <w:lang w:eastAsia="zh-CN"/>
              </w:rPr>
            </w:pPr>
            <w:r>
              <w:rPr>
                <w:i/>
                <w:lang w:eastAsia="zh-CN"/>
              </w:rPr>
              <w:t>codebookSubset</w:t>
            </w:r>
            <w:r>
              <w:rPr>
                <w:rFonts w:hint="eastAsia"/>
                <w:lang w:eastAsia="zh-CN"/>
              </w:rPr>
              <w:t xml:space="preserve"> = </w:t>
            </w:r>
            <w:r>
              <w:rPr>
                <w:rFonts w:hint="eastAsia"/>
                <w:i/>
                <w:lang w:eastAsia="zh-CN"/>
              </w:rPr>
              <w:t>n</w:t>
            </w:r>
            <w:r>
              <w:rPr>
                <w:i/>
                <w:lang w:eastAsia="zh-CN"/>
              </w:rPr>
              <w:t>onCoherent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shd w:val="clear" w:color="auto" w:fill="D9D9D9"/>
          </w:tcPr>
          <w:p>
            <w:pPr>
              <w:pStyle w:val="44"/>
              <w:spacing w:before="108" w:after="108"/>
              <w:rPr>
                <w:lang w:eastAsia="zh-CN"/>
              </w:rPr>
            </w:pPr>
            <w:r>
              <w:t>0</w:t>
            </w:r>
          </w:p>
        </w:tc>
        <w:tc>
          <w:tcPr>
            <w:tcW w:w="2758" w:type="dxa"/>
            <w:shd w:val="clear" w:color="auto" w:fill="auto"/>
          </w:tcPr>
          <w:p>
            <w:pPr>
              <w:pStyle w:val="44"/>
              <w:spacing w:before="108" w:after="108"/>
              <w:rPr>
                <w:lang w:eastAsia="zh-CN"/>
              </w:rPr>
            </w:pPr>
            <w:r>
              <w:t>1 layer: TPMI=0</w:t>
            </w:r>
          </w:p>
        </w:tc>
        <w:tc>
          <w:tcPr>
            <w:tcW w:w="899" w:type="dxa"/>
            <w:shd w:val="clear" w:color="auto" w:fill="D9D9D9"/>
          </w:tcPr>
          <w:p>
            <w:pPr>
              <w:pStyle w:val="44"/>
              <w:spacing w:before="108" w:after="108"/>
            </w:pPr>
            <w:r>
              <w:t>0</w:t>
            </w:r>
          </w:p>
        </w:tc>
        <w:tc>
          <w:tcPr>
            <w:tcW w:w="1758" w:type="dxa"/>
          </w:tcPr>
          <w:p>
            <w:pPr>
              <w:pStyle w:val="44"/>
              <w:spacing w:before="108" w:after="108"/>
              <w:rPr>
                <w:lang w:eastAsia="zh-CN"/>
              </w:rPr>
            </w:pPr>
            <w:r>
              <w:t>1 layer: TPMI=0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shd w:val="clear" w:color="auto" w:fill="D9D9D9"/>
            <w:vAlign w:val="center"/>
          </w:tcPr>
          <w:p>
            <w:pPr>
              <w:pStyle w:val="44"/>
              <w:spacing w:before="108" w:after="108"/>
              <w:rPr>
                <w:lang w:eastAsia="zh-CN"/>
              </w:rPr>
            </w:pPr>
            <w:r>
              <w:rPr>
                <w:rFonts w:hint="eastAsia"/>
                <w:lang w:eastAsia="zh-CN"/>
              </w:rPr>
              <w:t>1</w:t>
            </w:r>
          </w:p>
        </w:tc>
        <w:tc>
          <w:tcPr>
            <w:tcW w:w="2758" w:type="dxa"/>
            <w:shd w:val="clear" w:color="auto" w:fill="auto"/>
            <w:vAlign w:val="center"/>
          </w:tcPr>
          <w:p>
            <w:pPr>
              <w:pStyle w:val="44"/>
              <w:spacing w:before="108" w:after="108"/>
              <w:rPr>
                <w:lang w:eastAsia="zh-CN"/>
              </w:rPr>
            </w:pPr>
            <w:r>
              <mc:AlternateContent>
                <mc:Choice Requires="wps">
                  <w:drawing>
                    <wp:anchor distT="0" distB="0" distL="114300" distR="114300" simplePos="0" relativeHeight="251660288" behindDoc="0" locked="0" layoutInCell="1" allowOverlap="1">
                      <wp:simplePos x="0" y="0"/>
                      <wp:positionH relativeFrom="column">
                        <wp:posOffset>1641475</wp:posOffset>
                      </wp:positionH>
                      <wp:positionV relativeFrom="paragraph">
                        <wp:posOffset>269875</wp:posOffset>
                      </wp:positionV>
                      <wp:extent cx="1764030" cy="360045"/>
                      <wp:effectExtent l="12700" t="12700" r="21590" b="23495"/>
                      <wp:wrapNone/>
                      <wp:docPr id="4" name="矩形 4"/>
                      <wp:cNvGraphicFramePr/>
                      <a:graphic xmlns:a="http://schemas.openxmlformats.org/drawingml/2006/main">
                        <a:graphicData uri="http://schemas.microsoft.com/office/word/2010/wordprocessingShape">
                          <wps:wsp>
                            <wps:cNvSpPr/>
                            <wps:spPr>
                              <a:xfrm>
                                <a:off x="0" y="0"/>
                                <a:ext cx="1764030" cy="36004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29.25pt;margin-top:21.25pt;height:28.35pt;width:138.9pt;z-index:251660288;v-text-anchor:middle;mso-width-relative:page;mso-height-relative:page;" filled="f" stroked="t" coordsize="21600,21600" o:gfxdata="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rmm2eNkAAAAJAQAADwAAAAAAAAABACAAAAAi&#10;AAAAZHJzL2Rvd25yZXYueG1sUEsBAhQAFAAAAAgAh07iQMnIgT5CAgAAZgQAAA4AAAAAAAAAAQAg&#10;AAAAKAEAAGRycy9lMm9Eb2MueG1sUEsFBgAAAAAGAAYAWQEAANwFAAAAAA==&#10;">
                      <v:fill on="f" focussize="0,0"/>
                      <v:stroke weight="2pt" color="#FF0000 [3204]" joinstyle="round"/>
                      <v:imagedata o:title=""/>
                      <o:lock v:ext="edit" aspectratio="f"/>
                    </v:rect>
                  </w:pict>
                </mc:Fallback>
              </mc:AlternateContent>
            </w:r>
            <w:r>
              <w:t>1 layer: TPMI=1</w:t>
            </w:r>
          </w:p>
        </w:tc>
        <w:tc>
          <w:tcPr>
            <w:tcW w:w="899" w:type="dxa"/>
            <w:shd w:val="clear" w:color="auto" w:fill="D9D9D9"/>
            <w:vAlign w:val="center"/>
          </w:tcPr>
          <w:p>
            <w:pPr>
              <w:pStyle w:val="44"/>
              <w:spacing w:before="108" w:after="108"/>
            </w:pPr>
            <w:r>
              <w:rPr>
                <w:rFonts w:hint="eastAsia"/>
                <w:lang w:eastAsia="zh-CN"/>
              </w:rPr>
              <w:t>1</w:t>
            </w:r>
          </w:p>
        </w:tc>
        <w:tc>
          <w:tcPr>
            <w:tcW w:w="1758" w:type="dxa"/>
            <w:vAlign w:val="center"/>
          </w:tcPr>
          <w:p>
            <w:pPr>
              <w:pStyle w:val="44"/>
              <w:spacing w:before="108" w:after="108"/>
              <w:rPr>
                <w:lang w:eastAsia="zh-CN"/>
              </w:rPr>
            </w:pPr>
            <w:r>
              <w:t>1 layer: TPMI=1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shd w:val="clear" w:color="auto" w:fill="D9D9D9"/>
            <w:vAlign w:val="center"/>
          </w:tcPr>
          <w:p>
            <w:pPr>
              <w:pStyle w:val="44"/>
              <w:spacing w:before="108" w:after="108"/>
              <w:rPr>
                <w:lang w:eastAsia="zh-CN"/>
              </w:rPr>
            </w:pPr>
            <w:r>
              <w:rPr>
                <w:rFonts w:hint="eastAsia"/>
                <w:lang w:eastAsia="zh-CN"/>
              </w:rPr>
              <w:t>2</w:t>
            </w:r>
          </w:p>
        </w:tc>
        <w:tc>
          <w:tcPr>
            <w:tcW w:w="2758" w:type="dxa"/>
            <w:shd w:val="clear" w:color="auto" w:fill="auto"/>
            <w:vAlign w:val="center"/>
          </w:tcPr>
          <w:p>
            <w:pPr>
              <w:pStyle w:val="44"/>
              <w:spacing w:before="108" w:after="108"/>
              <w:rPr>
                <w:lang w:eastAsia="zh-CN"/>
              </w:rPr>
            </w:pPr>
            <w:r>
              <w:t>1 layer: TPMI=</w:t>
            </w:r>
            <w:r>
              <w:rPr>
                <w:rFonts w:hint="eastAsia"/>
                <w:lang w:eastAsia="zh-CN"/>
              </w:rPr>
              <w:t>2</w:t>
            </w:r>
          </w:p>
        </w:tc>
        <w:tc>
          <w:tcPr>
            <w:tcW w:w="899" w:type="dxa"/>
            <w:shd w:val="clear" w:color="auto" w:fill="D9D9D9"/>
            <w:vAlign w:val="center"/>
          </w:tcPr>
          <w:p>
            <w:pPr>
              <w:pStyle w:val="44"/>
              <w:spacing w:before="108" w:after="108"/>
              <w:rPr>
                <w:lang w:eastAsia="zh-CN"/>
              </w:rPr>
            </w:pPr>
            <w:r>
              <w:rPr>
                <w:rFonts w:hint="eastAsia"/>
                <w:lang w:eastAsia="zh-CN"/>
              </w:rPr>
              <w:t>2-3</w:t>
            </w:r>
          </w:p>
        </w:tc>
        <w:tc>
          <w:tcPr>
            <w:tcW w:w="1758" w:type="dxa"/>
            <w:vAlign w:val="center"/>
          </w:tcPr>
          <w:p>
            <w:pPr>
              <w:pStyle w:val="44"/>
              <w:spacing w:before="108" w:after="108"/>
              <w:rPr>
                <w:lang w:eastAsia="zh-CN"/>
              </w:rPr>
            </w:pPr>
            <w:r>
              <w:rPr>
                <w:rFonts w:hint="eastAsia"/>
                <w:lang w:eastAsia="zh-CN"/>
              </w:rPr>
              <w:t>additional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shd w:val="clear" w:color="auto" w:fill="D9D9D9"/>
            <w:vAlign w:val="center"/>
          </w:tcPr>
          <w:p>
            <w:pPr>
              <w:pStyle w:val="44"/>
              <w:spacing w:before="108" w:after="108"/>
              <w:rPr>
                <w:lang w:eastAsia="zh-CN"/>
              </w:rPr>
            </w:pPr>
            <w:r>
              <w:rPr>
                <w:rFonts w:hint="eastAsia"/>
                <w:lang w:eastAsia="zh-CN"/>
              </w:rPr>
              <w:t>3</w:t>
            </w:r>
          </w:p>
        </w:tc>
        <w:tc>
          <w:tcPr>
            <w:tcW w:w="2758" w:type="dxa"/>
            <w:shd w:val="clear" w:color="auto" w:fill="auto"/>
            <w:vAlign w:val="center"/>
          </w:tcPr>
          <w:p>
            <w:pPr>
              <w:pStyle w:val="44"/>
              <w:spacing w:before="108" w:after="108"/>
              <w:rPr>
                <w:lang w:eastAsia="zh-CN"/>
              </w:rPr>
            </w:pPr>
            <w:r>
              <w:t>1 layer: TPMI=</w:t>
            </w:r>
            <w:r>
              <w:rPr>
                <w:rFonts w:hint="eastAsia"/>
                <w:lang w:eastAsia="zh-CN"/>
              </w:rPr>
              <w:t>3</w:t>
            </w:r>
          </w:p>
        </w:tc>
        <w:tc>
          <w:tcPr>
            <w:tcW w:w="899" w:type="dxa"/>
            <w:shd w:val="clear" w:color="auto" w:fill="D9D9D9"/>
            <w:vAlign w:val="center"/>
          </w:tcPr>
          <w:p>
            <w:pPr>
              <w:pStyle w:val="44"/>
              <w:spacing w:before="108" w:after="108"/>
            </w:pPr>
          </w:p>
        </w:tc>
        <w:tc>
          <w:tcPr>
            <w:tcW w:w="1758" w:type="dxa"/>
            <w:vAlign w:val="center"/>
          </w:tcPr>
          <w:p>
            <w:pPr>
              <w:pStyle w:val="44"/>
              <w:spacing w:before="108" w:after="10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shd w:val="clear" w:color="auto" w:fill="D9D9D9"/>
          </w:tcPr>
          <w:p>
            <w:pPr>
              <w:pStyle w:val="44"/>
              <w:spacing w:before="108" w:after="108"/>
              <w:rPr>
                <w:lang w:eastAsia="zh-CN"/>
              </w:rPr>
            </w:pPr>
            <w:r>
              <w:rPr>
                <w:rFonts w:hint="eastAsia"/>
                <w:lang w:eastAsia="zh-CN"/>
              </w:rPr>
              <w:t>4</w:t>
            </w:r>
          </w:p>
        </w:tc>
        <w:tc>
          <w:tcPr>
            <w:tcW w:w="2758" w:type="dxa"/>
            <w:shd w:val="clear" w:color="auto" w:fill="auto"/>
          </w:tcPr>
          <w:p>
            <w:pPr>
              <w:pStyle w:val="44"/>
              <w:spacing w:before="108" w:after="108"/>
              <w:rPr>
                <w:lang w:eastAsia="zh-CN"/>
              </w:rPr>
            </w:pPr>
            <w:r>
              <w:t>1 layer: TPMI=</w:t>
            </w:r>
            <w:r>
              <w:rPr>
                <w:rFonts w:hint="eastAsia"/>
                <w:lang w:eastAsia="zh-CN"/>
              </w:rPr>
              <w:t>4</w:t>
            </w:r>
          </w:p>
        </w:tc>
        <w:tc>
          <w:tcPr>
            <w:tcW w:w="899" w:type="dxa"/>
            <w:shd w:val="clear" w:color="auto" w:fill="D9D9D9"/>
          </w:tcPr>
          <w:p>
            <w:pPr>
              <w:pStyle w:val="44"/>
              <w:spacing w:before="108" w:after="108"/>
              <w:rPr>
                <w:lang w:eastAsia="zh-CN"/>
              </w:rPr>
            </w:pPr>
          </w:p>
        </w:tc>
        <w:tc>
          <w:tcPr>
            <w:tcW w:w="1758" w:type="dxa"/>
          </w:tcPr>
          <w:p>
            <w:pPr>
              <w:pStyle w:val="44"/>
              <w:spacing w:before="108" w:after="10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shd w:val="clear" w:color="auto" w:fill="D9D9D9"/>
          </w:tcPr>
          <w:p>
            <w:pPr>
              <w:pStyle w:val="44"/>
              <w:spacing w:before="108" w:after="108"/>
              <w:rPr>
                <w:lang w:eastAsia="zh-CN"/>
              </w:rPr>
            </w:pPr>
            <w:r>
              <mc:AlternateContent>
                <mc:Choice Requires="wps">
                  <w:drawing>
                    <wp:anchor distT="0" distB="0" distL="114300" distR="114300" simplePos="0" relativeHeight="251659264" behindDoc="0" locked="0" layoutInCell="1" allowOverlap="1">
                      <wp:simplePos x="0" y="0"/>
                      <wp:positionH relativeFrom="column">
                        <wp:posOffset>-115570</wp:posOffset>
                      </wp:positionH>
                      <wp:positionV relativeFrom="paragraph">
                        <wp:posOffset>267970</wp:posOffset>
                      </wp:positionV>
                      <wp:extent cx="2411730" cy="360045"/>
                      <wp:effectExtent l="12700" t="12700" r="13970" b="23495"/>
                      <wp:wrapNone/>
                      <wp:docPr id="3" name="矩形 3"/>
                      <wp:cNvGraphicFramePr/>
                      <a:graphic xmlns:a="http://schemas.openxmlformats.org/drawingml/2006/main">
                        <a:graphicData uri="http://schemas.microsoft.com/office/word/2010/wordprocessingShape">
                          <wps:wsp>
                            <wps:cNvSpPr/>
                            <wps:spPr>
                              <a:xfrm>
                                <a:off x="1741805" y="4293870"/>
                                <a:ext cx="2411730" cy="360045"/>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1pt;margin-top:21.1pt;height:28.35pt;width:189.9pt;z-index:251659264;v-text-anchor:middle;mso-width-relative:page;mso-height-relative:page;" filled="f" stroked="t" coordsize="21600,21600" o:gfxdata="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NmR57bZAAAACQEAAA8A&#10;AAAAAAAAAQAgAAAAIgAAAGRycy9kb3ducmV2LnhtbFBLAQIUABQAAAAIAIdO4kDLeCylTwIAAHIE&#10;AAAOAAAAAAAAAAEAIAAAACgBAABkcnMvZTJvRG9jLnhtbFBLBQYAAAAABgAGAFkBAADpBQAAAAA=&#10;">
                      <v:fill on="f" focussize="0,0"/>
                      <v:stroke weight="2pt" color="#FF0000 [3204]" joinstyle="round"/>
                      <v:imagedata o:title=""/>
                      <o:lock v:ext="edit" aspectratio="f"/>
                    </v:rect>
                  </w:pict>
                </mc:Fallback>
              </mc:AlternateContent>
            </w:r>
            <w:r>
              <w:rPr>
                <w:rFonts w:hint="eastAsia"/>
                <w:lang w:eastAsia="zh-CN"/>
              </w:rPr>
              <w:t>5</w:t>
            </w:r>
          </w:p>
        </w:tc>
        <w:tc>
          <w:tcPr>
            <w:tcW w:w="2758" w:type="dxa"/>
            <w:shd w:val="clear" w:color="auto" w:fill="auto"/>
          </w:tcPr>
          <w:p>
            <w:pPr>
              <w:pStyle w:val="44"/>
              <w:spacing w:before="108" w:after="108"/>
              <w:rPr>
                <w:lang w:eastAsia="zh-CN"/>
              </w:rPr>
            </w:pPr>
            <w:r>
              <w:t>1 layer: TPMI=</w:t>
            </w:r>
            <w:r>
              <w:rPr>
                <w:rFonts w:hint="eastAsia"/>
                <w:lang w:eastAsia="zh-CN"/>
              </w:rPr>
              <w:t>5</w:t>
            </w:r>
          </w:p>
        </w:tc>
        <w:tc>
          <w:tcPr>
            <w:tcW w:w="899" w:type="dxa"/>
            <w:shd w:val="clear" w:color="auto" w:fill="D9D9D9"/>
          </w:tcPr>
          <w:p>
            <w:pPr>
              <w:pStyle w:val="44"/>
              <w:spacing w:before="108" w:after="108"/>
              <w:rPr>
                <w:lang w:eastAsia="zh-CN"/>
              </w:rPr>
            </w:pPr>
          </w:p>
        </w:tc>
        <w:tc>
          <w:tcPr>
            <w:tcW w:w="1758" w:type="dxa"/>
          </w:tcPr>
          <w:p>
            <w:pPr>
              <w:pStyle w:val="44"/>
              <w:spacing w:before="108" w:after="108"/>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1" w:type="dxa"/>
            <w:shd w:val="clear" w:color="auto" w:fill="D9D9D9"/>
          </w:tcPr>
          <w:p>
            <w:pPr>
              <w:pStyle w:val="44"/>
              <w:spacing w:before="108" w:after="108"/>
              <w:rPr>
                <w:lang w:eastAsia="zh-CN"/>
              </w:rPr>
            </w:pPr>
            <w:r>
              <w:rPr>
                <w:rFonts w:hint="eastAsia"/>
                <w:lang w:eastAsia="zh-CN"/>
              </w:rPr>
              <w:t>6-7</w:t>
            </w:r>
          </w:p>
        </w:tc>
        <w:tc>
          <w:tcPr>
            <w:tcW w:w="2758" w:type="dxa"/>
            <w:shd w:val="clear" w:color="auto" w:fill="auto"/>
          </w:tcPr>
          <w:p>
            <w:pPr>
              <w:pStyle w:val="44"/>
              <w:spacing w:before="108" w:after="108"/>
              <w:rPr>
                <w:lang w:eastAsia="zh-CN"/>
              </w:rPr>
            </w:pPr>
            <w:r>
              <w:rPr>
                <w:rFonts w:hint="eastAsia"/>
                <w:lang w:eastAsia="zh-CN"/>
              </w:rPr>
              <w:t>reserved</w:t>
            </w:r>
          </w:p>
        </w:tc>
        <w:tc>
          <w:tcPr>
            <w:tcW w:w="899" w:type="dxa"/>
            <w:shd w:val="clear" w:color="auto" w:fill="D9D9D9"/>
          </w:tcPr>
          <w:p>
            <w:pPr>
              <w:pStyle w:val="44"/>
              <w:spacing w:before="108" w:after="108"/>
              <w:rPr>
                <w:lang w:eastAsia="zh-CN"/>
              </w:rPr>
            </w:pPr>
          </w:p>
        </w:tc>
        <w:tc>
          <w:tcPr>
            <w:tcW w:w="1758" w:type="dxa"/>
          </w:tcPr>
          <w:p>
            <w:pPr>
              <w:pStyle w:val="44"/>
              <w:spacing w:before="108" w:after="108"/>
              <w:rPr>
                <w:lang w:eastAsia="zh-CN"/>
              </w:rPr>
            </w:pPr>
          </w:p>
        </w:tc>
      </w:tr>
    </w:tbl>
    <w:p>
      <w:pPr>
        <w:spacing w:before="288" w:beforeLines="80" w:after="108"/>
        <w:rPr>
          <w:rFonts w:eastAsia="宋体"/>
          <w:szCs w:val="20"/>
        </w:rPr>
      </w:pPr>
      <w:r>
        <w:rPr>
          <w:rFonts w:hint="eastAsia" w:eastAsia="宋体"/>
          <w:szCs w:val="20"/>
        </w:rPr>
        <w:t>For Alt 2, its mechanism is quite similar to the second TPMI field which introduced for TDM based MTRP PUSCH repetition in Rel-17, where the overhead of the first or the second TPMI field depends on the candidate TPMIs corresponding to the indicated rank of each STxMP PUSCH transmission. In this solution, 1 bit or 2 bits of each TPMI field can be saved when compared with Alt 1 but rank information needs to be indicated additionally, which will result in increased indication overhead. One way to avoid this increase may be to utilize reserved entries in the existing fields in DCI, i.e. Antenna port indication field or TDRA indication field. However, an inevitable shortcoming of this solution is that it cannot indicate the precoder for dynamic switching between single panel PUSCH transmission and STxMP PUSCH transmissions. More precisely, once the configured/supported maximum rank of single panel PUSCH transmission (e.g., is 4) is larger than the configured/supported maximum rank of a STxMP PUSCH transmission (e.g., is 2), the precoders of rank = 3 or 4 when single panel PUSCH transmission cannot be indicated by the first and the second TPMI fields.</w:t>
      </w:r>
    </w:p>
    <w:p>
      <w:pPr>
        <w:spacing w:before="108" w:after="108"/>
        <w:rPr>
          <w:rFonts w:eastAsia="宋体"/>
          <w:szCs w:val="20"/>
        </w:rPr>
      </w:pPr>
      <w:r>
        <w:rPr>
          <w:rFonts w:hint="eastAsia" w:eastAsia="宋体"/>
          <w:szCs w:val="20"/>
        </w:rPr>
        <w:t>For Alt 3, it seems like the variant of the first and the second TPMI fields for TDM based MTRP PUSCH repetition in Rel-17, where the overhead of the first TPMI depends on the TPMIs corresponding to the STxMP PUSCH configured with larger value of maximum rank, and the overhead of the second TPMI field depends on the TPMIs corresponding to the indicated rank of the other STxMP PUSCH transmission. Where, the rank information of the second TPMI field is related to the first TPMI field indication due to the candidate values of layer combinations {1+1, 1+2, 2+1, 1+3, 3+1}. When the first rank indicated by the first TPMI field is 1, the second rank of the second TPMI field can be indicated to 1, 2 or 3.  When the first rank indicated by the first TPMI field is 2, the second rank of the second TPMI field can be indicated to 1, 2. When the first rank indicated by the first TPMI field is 3, the second rank of the second TPMI field can only be indicated to 1. For the case of first rank is 1 or 2, the used value of the second rank should be further indicated, e.g., via a newly added field in DCI. Besides, the order of {1+2, 2+1} and {1+3, 3+1} should be indicated additionally, if needed. So far, this solution can be used for both STxMP PUSCH transmissions and single panel PUSCH transmission. Apparently, this solution is somehow complicated, and the association between TPMI field and SRS resource set is hard to distinguish.</w:t>
      </w:r>
    </w:p>
    <w:p>
      <w:pPr>
        <w:spacing w:before="108" w:after="108"/>
      </w:pPr>
      <w:r>
        <w:rPr>
          <w:rFonts w:hint="eastAsia"/>
        </w:rPr>
        <w:t>In light of the elaboration above, Alt 1 should be adopted with first priority to fulfill the feature of precoder and rank indication of single DCI based STxMP PUSCH transmissions. Meanwhile, the similar solution can refer to NCB PUSCH, that is: t</w:t>
      </w:r>
      <w:r>
        <w:rPr>
          <w:rFonts w:hint="eastAsia" w:eastAsia="宋体"/>
        </w:rPr>
        <w:t>he first or the second SRI field indicates SRI per panel, which is based on Rel-15/16 framework (Tables 7.3.1.1.2-2</w:t>
      </w:r>
      <w:r>
        <w:rPr>
          <w:rFonts w:hint="eastAsia"/>
        </w:rPr>
        <w:t>28/29/30/31</w:t>
      </w:r>
      <w:r>
        <w:rPr>
          <w:rFonts w:hint="eastAsia" w:eastAsia="宋体"/>
        </w:rPr>
        <w:t xml:space="preserve"> in TS 38.212). The first and second TPMI fields are associated with the first and the second SRS resource sets, respectively.</w:t>
      </w:r>
    </w:p>
    <w:p>
      <w:pPr>
        <w:spacing w:before="108" w:after="108"/>
        <w:rPr>
          <w:i/>
          <w:iCs/>
        </w:rPr>
      </w:pPr>
      <w:r>
        <w:rPr>
          <w:rFonts w:hint="eastAsia"/>
          <w:b/>
          <w:bCs/>
          <w:i/>
          <w:iCs/>
        </w:rPr>
        <w:t>Proposal 3:</w:t>
      </w:r>
      <w:r>
        <w:rPr>
          <w:rFonts w:hint="eastAsia"/>
          <w:i/>
          <w:iCs/>
        </w:rPr>
        <w:t xml:space="preserve"> For single DCI based STxMP PUSCH transmission scheme, support to configure two SRS resource sets and utilize two SRI/ TPMI fields in DCI format 0_1/ 0_2 to indicate precoding and rank information.</w:t>
      </w:r>
    </w:p>
    <w:p>
      <w:pPr>
        <w:numPr>
          <w:ilvl w:val="0"/>
          <w:numId w:val="12"/>
        </w:numPr>
        <w:spacing w:before="108" w:after="108"/>
        <w:rPr>
          <w:rFonts w:eastAsia="宋体"/>
          <w:i/>
          <w:iCs/>
        </w:rPr>
      </w:pPr>
      <w:r>
        <w:rPr>
          <w:rFonts w:hint="eastAsia" w:eastAsia="宋体"/>
          <w:i/>
          <w:iCs/>
        </w:rPr>
        <w:t>For CB PUSCH, the first or the second TPMI field indicates TPMI index and rank jointly per panel, which is based on Rel-15/16 framework (Tables 7.3.1.1.2-2/2A/2B/3/3A/4/4A/5/5A in TS 38.212). Where, one reserved/ additional codepoint is used to indicate the TPMI field is unused when single-panel PUSCH transmission.</w:t>
      </w:r>
    </w:p>
    <w:p>
      <w:pPr>
        <w:numPr>
          <w:ilvl w:val="0"/>
          <w:numId w:val="12"/>
        </w:numPr>
        <w:spacing w:before="108" w:after="108"/>
        <w:rPr>
          <w:rFonts w:eastAsia="宋体"/>
          <w:i/>
          <w:iCs/>
        </w:rPr>
      </w:pPr>
      <w:r>
        <w:rPr>
          <w:rFonts w:hint="eastAsia" w:eastAsia="宋体"/>
          <w:i/>
          <w:iCs/>
        </w:rPr>
        <w:t>For NCB PUSCH, the first or the second SRI field indicates SRI per panel, which is based on Rel-15/16 framework (Tables 7.3.1.1.2-28/29/30/31 in TS 38.212). Where, one reserved/ additional codepoint is used to indicate the SRI field is unused when single-panel PUSCH transmission.</w:t>
      </w:r>
    </w:p>
    <w:p>
      <w:pPr>
        <w:numPr>
          <w:ilvl w:val="0"/>
          <w:numId w:val="12"/>
        </w:numPr>
        <w:spacing w:before="108" w:after="108"/>
        <w:rPr>
          <w:rFonts w:eastAsia="宋体"/>
        </w:rPr>
      </w:pPr>
      <w:r>
        <w:rPr>
          <w:rFonts w:hint="eastAsia" w:eastAsia="宋体"/>
          <w:i/>
          <w:iCs/>
        </w:rPr>
        <w:t>The first and second TPMI fields are associated with the first and the second SRS resource sets, respectively.</w:t>
      </w:r>
    </w:p>
    <w:p>
      <w:pPr>
        <w:pStyle w:val="3"/>
        <w:spacing w:before="360" w:beforeLines="100" w:after="180"/>
        <w:ind w:left="431" w:hanging="431"/>
        <w:rPr>
          <w:lang w:val="en-US"/>
        </w:rPr>
      </w:pPr>
      <w:r>
        <w:rPr>
          <w:rFonts w:hint="eastAsia"/>
          <w:lang w:val="en-US"/>
        </w:rPr>
        <w:t>Transmission scheme switching</w:t>
      </w:r>
    </w:p>
    <w:p>
      <w:pPr>
        <w:spacing w:before="108" w:after="108"/>
      </w:pPr>
      <w:r>
        <w:rPr>
          <w:rFonts w:hint="eastAsia"/>
        </w:rPr>
        <w:t>Broadly, several transmission scheme can be supported and operated by MP-UE, which include single panel PUSCH transmission, TDM scheme based MTRP PUSCH repetition, SDM scheme based STxMP PUSCH transmissions, FDM-B scheme based STxMP PUSCH transmissions, etc.</w:t>
      </w:r>
    </w:p>
    <w:p>
      <w:pPr>
        <w:spacing w:before="108" w:after="108"/>
        <w:rPr>
          <w:rFonts w:eastAsia="宋体"/>
        </w:rPr>
      </w:pPr>
      <w:r>
        <w:rPr>
          <w:rFonts w:hint="eastAsia"/>
        </w:rPr>
        <w:t xml:space="preserve">Regarding the switching between TDM scheme, SDM scheme and FDM-B scheme, the motivation to support dynamic switching is quite marginal when considering the practical use case and the complexity of UE implementation, hence it is sufficient to support semi-static switching between TDM scheme, SDM scheme and FDM-B scheme. Consequently, </w:t>
      </w:r>
      <w:r>
        <w:rPr>
          <w:rFonts w:eastAsia="宋体"/>
        </w:rPr>
        <w:t xml:space="preserve">one </w:t>
      </w:r>
      <w:r>
        <w:rPr>
          <w:rFonts w:hint="eastAsia" w:eastAsia="宋体"/>
        </w:rPr>
        <w:t xml:space="preserve">RRC parameter can be introduced to </w:t>
      </w:r>
      <w:r>
        <w:rPr>
          <w:rFonts w:eastAsia="宋体"/>
        </w:rPr>
        <w:t>configure</w:t>
      </w:r>
      <w:r>
        <w:rPr>
          <w:rFonts w:hint="eastAsia" w:eastAsia="宋体"/>
        </w:rPr>
        <w:t xml:space="preserve"> a specific transmission scheme among SDM</w:t>
      </w:r>
      <w:r>
        <w:rPr>
          <w:rFonts w:eastAsia="宋体"/>
        </w:rPr>
        <w:t xml:space="preserve"> scheme, </w:t>
      </w:r>
      <w:r>
        <w:rPr>
          <w:rFonts w:hint="eastAsia" w:eastAsia="宋体"/>
        </w:rPr>
        <w:t>TDM</w:t>
      </w:r>
      <w:r>
        <w:rPr>
          <w:rFonts w:eastAsia="宋体"/>
        </w:rPr>
        <w:t xml:space="preserve"> scheme</w:t>
      </w:r>
      <w:r>
        <w:rPr>
          <w:rFonts w:hint="eastAsia" w:eastAsia="宋体"/>
        </w:rPr>
        <w:t xml:space="preserve"> and FDM-B</w:t>
      </w:r>
      <w:r>
        <w:rPr>
          <w:rFonts w:eastAsia="宋体"/>
        </w:rPr>
        <w:t xml:space="preserve"> scheme for multi-panel UE.</w:t>
      </w:r>
    </w:p>
    <w:p>
      <w:pPr>
        <w:spacing w:before="108" w:after="180" w:afterLines="50"/>
        <w:rPr>
          <w:rFonts w:eastAsia="宋体"/>
        </w:rPr>
      </w:pPr>
      <w:r>
        <w:rPr>
          <w:rFonts w:eastAsia="宋体"/>
          <w:b/>
          <w:i/>
        </w:rPr>
        <w:t xml:space="preserve">Proposal </w:t>
      </w:r>
      <w:r>
        <w:rPr>
          <w:rFonts w:hint="eastAsia" w:eastAsia="宋体"/>
          <w:b/>
          <w:i/>
        </w:rPr>
        <w:t>4</w:t>
      </w:r>
      <w:r>
        <w:rPr>
          <w:rFonts w:eastAsia="宋体"/>
          <w:b/>
          <w:i/>
        </w:rPr>
        <w:t>:</w:t>
      </w:r>
      <w:r>
        <w:rPr>
          <w:rFonts w:eastAsia="宋体"/>
          <w:i/>
        </w:rPr>
        <w:t xml:space="preserve"> </w:t>
      </w:r>
      <w:r>
        <w:rPr>
          <w:rFonts w:hint="eastAsia" w:eastAsia="宋体"/>
          <w:i/>
        </w:rPr>
        <w:t>Introduce an</w:t>
      </w:r>
      <w:r>
        <w:rPr>
          <w:rFonts w:eastAsia="宋体"/>
          <w:i/>
        </w:rPr>
        <w:t xml:space="preserve"> RRC signaling to </w:t>
      </w:r>
      <w:r>
        <w:rPr>
          <w:rFonts w:hint="eastAsia" w:eastAsia="宋体"/>
          <w:i/>
        </w:rPr>
        <w:t>facilitate the semi-static switching between SDM</w:t>
      </w:r>
      <w:r>
        <w:rPr>
          <w:rFonts w:eastAsia="宋体"/>
          <w:i/>
        </w:rPr>
        <w:t xml:space="preserve"> scheme, </w:t>
      </w:r>
      <w:r>
        <w:rPr>
          <w:rFonts w:hint="eastAsia" w:eastAsia="宋体"/>
          <w:i/>
        </w:rPr>
        <w:t>FDM</w:t>
      </w:r>
      <w:r>
        <w:rPr>
          <w:rFonts w:eastAsia="宋体"/>
          <w:i/>
        </w:rPr>
        <w:t xml:space="preserve"> scheme and </w:t>
      </w:r>
      <w:r>
        <w:rPr>
          <w:rFonts w:hint="eastAsia" w:eastAsia="宋体"/>
          <w:i/>
        </w:rPr>
        <w:t>TDM</w:t>
      </w:r>
      <w:r>
        <w:rPr>
          <w:rFonts w:eastAsia="宋体"/>
          <w:i/>
        </w:rPr>
        <w:t xml:space="preserve"> scheme for</w:t>
      </w:r>
      <w:r>
        <w:rPr>
          <w:rFonts w:hint="eastAsia" w:eastAsia="宋体"/>
          <w:i/>
        </w:rPr>
        <w:t xml:space="preserve"> single DCI based STxMP PUSCH transmission</w:t>
      </w:r>
      <w:r>
        <w:rPr>
          <w:rFonts w:eastAsia="宋体"/>
          <w:i/>
        </w:rPr>
        <w:t>.</w:t>
      </w:r>
    </w:p>
    <w:p>
      <w:pPr>
        <w:spacing w:before="108" w:after="108"/>
        <w:rPr>
          <w:rFonts w:eastAsia="宋体"/>
        </w:rPr>
      </w:pPr>
      <w:r>
        <w:rPr>
          <w:rFonts w:hint="eastAsia" w:eastAsia="宋体"/>
        </w:rPr>
        <w:t>Regarding the switching between single panel PUSCH transmission and STxMP PUSCH transmissions, it will be beneficial to support dynamic switching for UE power saving, just like the motivation of TDM scheme based MTRP PUSCH repetition in Rel-17. However, it should be noticed that the introduced SRS resource set indicator field with 2 bits is not needed. In Rel-17, this field could indicate STRP operation with {TRP1 only} or {TRP2 only}, and also MTRP operation with {TRP1, TRP 2 order} or {TRP2, TRP1 order}, these indicative status are unwanted to STxMP PUSCH transmission because of its intrinsic property. Accordingly, the indication of dynamic switching between single panel PUSCH transmission and STxMP PUSCH transmissions can be fulfilled by Alt 1 in section 2.2, in which one reserved/ additional codepoint in the first or the second TPMI field is used.</w:t>
      </w:r>
    </w:p>
    <w:p>
      <w:pPr>
        <w:spacing w:before="108" w:after="180" w:afterLines="50"/>
        <w:rPr>
          <w:rFonts w:eastAsia="宋体"/>
        </w:rPr>
      </w:pPr>
      <w:r>
        <w:rPr>
          <w:rFonts w:eastAsia="宋体"/>
          <w:b/>
          <w:i/>
          <w:iCs/>
        </w:rPr>
        <w:t xml:space="preserve">Proposal </w:t>
      </w:r>
      <w:r>
        <w:rPr>
          <w:rFonts w:hint="eastAsia" w:eastAsia="宋体"/>
          <w:b/>
          <w:i/>
          <w:iCs/>
        </w:rPr>
        <w:t>5</w:t>
      </w:r>
      <w:r>
        <w:rPr>
          <w:rFonts w:eastAsia="宋体"/>
          <w:b/>
          <w:i/>
          <w:iCs/>
        </w:rPr>
        <w:t>:</w:t>
      </w:r>
      <w:r>
        <w:rPr>
          <w:rFonts w:eastAsia="宋体"/>
          <w:i/>
          <w:iCs/>
        </w:rPr>
        <w:t xml:space="preserve"> </w:t>
      </w:r>
      <w:r>
        <w:rPr>
          <w:rFonts w:hint="eastAsia" w:eastAsia="宋体"/>
          <w:i/>
          <w:iCs/>
        </w:rPr>
        <w:t>One reserved/ additional codepoint in the first or the second TPMI field is used to indicate dynamic switching between single panel PUSCH transmission and STxMP PUSCH transmissions, and the introduced SRS resource set indicator field with 2 bits in Rel-17 is not needed and can be saved.</w:t>
      </w:r>
    </w:p>
    <w:p>
      <w:pPr>
        <w:pStyle w:val="3"/>
        <w:spacing w:before="360" w:beforeLines="100" w:after="180"/>
        <w:ind w:left="431" w:hanging="431"/>
        <w:rPr>
          <w:lang w:val="en-US"/>
        </w:rPr>
      </w:pPr>
      <w:r>
        <w:rPr>
          <w:rFonts w:hint="eastAsia"/>
          <w:lang w:val="en-US"/>
        </w:rPr>
        <w:t>DMRS port indication</w:t>
      </w:r>
    </w:p>
    <w:p>
      <w:pPr>
        <w:spacing w:before="108" w:after="108"/>
      </w:pPr>
      <w:r>
        <w:rPr>
          <w:rFonts w:hint="eastAsia" w:eastAsia="宋体"/>
        </w:rPr>
        <w:t>On DMRS port indication for single SDM based STxMP PUSCH transmissions, one agreement was reached in RAN1#110 meeting [3].</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5"/>
              <w:spacing w:before="108" w:after="108"/>
              <w:rPr>
                <w:rFonts w:ascii="Times" w:hAnsi="Times" w:cs="Times"/>
                <w:sz w:val="20"/>
                <w:szCs w:val="20"/>
                <w:u w:val="single"/>
              </w:rPr>
            </w:pPr>
            <w:r>
              <w:rPr>
                <w:rFonts w:hint="eastAsia" w:ascii="Times" w:hAnsi="Times" w:cs="Times"/>
                <w:b/>
                <w:bCs/>
                <w:sz w:val="20"/>
                <w:szCs w:val="20"/>
                <w:u w:val="single"/>
              </w:rPr>
              <w:t>Agreement</w:t>
            </w:r>
          </w:p>
          <w:p>
            <w:pPr>
              <w:spacing w:before="108" w:after="108"/>
              <w:rPr>
                <w:szCs w:val="20"/>
              </w:rPr>
            </w:pPr>
            <w:r>
              <w:rPr>
                <w:szCs w:val="20"/>
              </w:rPr>
              <w:t>To enhance the DMRS port indication for SDM scheme of STxMP PUSCH transmission in single-DCI based mTRP system, study the following aspects:</w:t>
            </w:r>
          </w:p>
          <w:p>
            <w:pPr>
              <w:pStyle w:val="50"/>
              <w:numPr>
                <w:ilvl w:val="0"/>
                <w:numId w:val="15"/>
              </w:numPr>
              <w:spacing w:before="108" w:after="108"/>
              <w:ind w:leftChars="0"/>
              <w:contextualSpacing/>
              <w:rPr>
                <w:rFonts w:ascii="Times New Roman" w:hAnsi="Times New Roman"/>
                <w:szCs w:val="20"/>
              </w:rPr>
            </w:pPr>
            <w:r>
              <w:rPr>
                <w:rFonts w:ascii="Times New Roman" w:hAnsi="Times New Roman"/>
                <w:szCs w:val="20"/>
              </w:rPr>
              <w:t>Whether the indicated DMRS ports can be in different or same CDM group?</w:t>
            </w:r>
          </w:p>
          <w:p>
            <w:pPr>
              <w:pStyle w:val="50"/>
              <w:numPr>
                <w:ilvl w:val="0"/>
                <w:numId w:val="15"/>
              </w:numPr>
              <w:spacing w:before="108" w:after="108"/>
              <w:ind w:leftChars="0"/>
              <w:contextualSpacing/>
              <w:rPr>
                <w:rFonts w:ascii="Times New Roman" w:hAnsi="Times New Roman"/>
                <w:szCs w:val="20"/>
              </w:rPr>
            </w:pPr>
            <w:r>
              <w:rPr>
                <w:rFonts w:ascii="Times New Roman" w:hAnsi="Times New Roman"/>
                <w:szCs w:val="20"/>
              </w:rPr>
              <w:t>How to determine the port partition among PUSCH layers.</w:t>
            </w:r>
          </w:p>
          <w:p>
            <w:pPr>
              <w:pStyle w:val="50"/>
              <w:numPr>
                <w:ilvl w:val="0"/>
                <w:numId w:val="15"/>
              </w:numPr>
              <w:spacing w:before="108" w:after="108"/>
              <w:ind w:leftChars="0"/>
              <w:contextualSpacing/>
              <w:rPr>
                <w:rFonts w:ascii="Times New Roman" w:hAnsi="Times New Roman"/>
                <w:szCs w:val="20"/>
              </w:rPr>
            </w:pPr>
            <w:r>
              <w:rPr>
                <w:rFonts w:ascii="Times New Roman" w:hAnsi="Times New Roman"/>
                <w:szCs w:val="20"/>
              </w:rPr>
              <w:t>How to map DMRS ports with PUSCH layers from different panels.</w:t>
            </w:r>
          </w:p>
          <w:p>
            <w:pPr>
              <w:pStyle w:val="50"/>
              <w:numPr>
                <w:ilvl w:val="0"/>
                <w:numId w:val="15"/>
              </w:numPr>
              <w:spacing w:before="108" w:after="108"/>
              <w:ind w:leftChars="0"/>
              <w:contextualSpacing/>
              <w:rPr>
                <w:rFonts w:ascii="Times New Roman" w:hAnsi="Times New Roman"/>
                <w:szCs w:val="20"/>
              </w:rPr>
            </w:pPr>
            <w:r>
              <w:rPr>
                <w:rFonts w:ascii="Times New Roman" w:hAnsi="Times New Roman"/>
                <w:szCs w:val="20"/>
              </w:rPr>
              <w:t>Whether to use one DCI field or two DCI fields for DMRS port indication</w:t>
            </w:r>
          </w:p>
          <w:p>
            <w:pPr>
              <w:pStyle w:val="50"/>
              <w:numPr>
                <w:ilvl w:val="0"/>
                <w:numId w:val="15"/>
              </w:numPr>
              <w:spacing w:before="108" w:after="108"/>
              <w:ind w:leftChars="0"/>
              <w:contextualSpacing/>
              <w:rPr>
                <w:rFonts w:ascii="Times New Roman" w:hAnsi="Times New Roman"/>
                <w:szCs w:val="20"/>
              </w:rPr>
            </w:pPr>
            <w:r>
              <w:rPr>
                <w:rFonts w:ascii="Times New Roman" w:hAnsi="Times New Roman"/>
                <w:szCs w:val="20"/>
              </w:rPr>
              <w:t>How to indicate layer combination that is used to partition DMRS port partition among PUSCH layers.</w:t>
            </w:r>
          </w:p>
          <w:p>
            <w:pPr>
              <w:pStyle w:val="50"/>
              <w:numPr>
                <w:ilvl w:val="0"/>
                <w:numId w:val="15"/>
              </w:numPr>
              <w:spacing w:before="108" w:after="108"/>
              <w:ind w:leftChars="0"/>
              <w:contextualSpacing/>
              <w:rPr>
                <w:rFonts w:cs="Times"/>
                <w:szCs w:val="20"/>
                <w:lang w:val="en-US"/>
              </w:rPr>
            </w:pPr>
            <w:r>
              <w:rPr>
                <w:rFonts w:ascii="Times New Roman" w:hAnsi="Times New Roman"/>
                <w:szCs w:val="20"/>
              </w:rPr>
              <w:t>Other aspects are not precluded.</w:t>
            </w:r>
          </w:p>
        </w:tc>
      </w:tr>
    </w:tbl>
    <w:p>
      <w:pPr>
        <w:spacing w:before="288" w:beforeLines="80" w:after="108"/>
        <w:rPr>
          <w:rFonts w:eastAsia="宋体"/>
        </w:rPr>
      </w:pPr>
      <w:r>
        <w:rPr>
          <w:rFonts w:hint="eastAsia" w:eastAsia="宋体"/>
        </w:rPr>
        <w:t xml:space="preserve">Regarding the indicated DMRS ports should be allocated in the same or different CDM groups, it is relative to Tx-chain/ panel architecture and the synchronization assumption of DMRS ports across two panels. If DMRS ports across two panels can be ideal synchronized, the demodulation of DMRS will not be impact by the measurement interference across different layers even in case of </w:t>
      </w:r>
      <w:r>
        <w:rPr>
          <w:rFonts w:hint="eastAsia" w:eastAsia="宋体"/>
          <w:lang w:val="en-US" w:eastAsia="zh-CN"/>
        </w:rPr>
        <w:t xml:space="preserve">the </w:t>
      </w:r>
      <w:r>
        <w:rPr>
          <w:rFonts w:hint="eastAsia" w:eastAsia="宋体"/>
        </w:rPr>
        <w:t>same CDM group. If the ideal synchronization of DMRS ports across two panels cannot be guarantee due to the Tx-chain/ panel architecture, the reception quality of DMRS will be degraded by the measurement interference, hence DMRS ports of two panels should be allocated in different CDM group. In terms of the target types of MP-UE (e.g., CPE/FWA/vehicle/industrial devices), both the same CDM group and the different CDM groups should be supported for DMRS ports allocation to keep the diversity of MP-UE types.</w:t>
      </w:r>
    </w:p>
    <w:p>
      <w:pPr>
        <w:spacing w:before="108" w:after="108"/>
        <w:rPr>
          <w:rFonts w:eastAsia="宋体"/>
        </w:rPr>
      </w:pPr>
      <w:r>
        <w:rPr>
          <w:rFonts w:hint="eastAsia" w:eastAsia="宋体"/>
        </w:rPr>
        <w:t xml:space="preserve">For port partition among PUSCH layers from different panels, it can be determined by the rank indication via TPMI field for CB PUSCH and SRI field for NCB PUSCH. On top of that, the association of DMRS ports and CDM group could be derived, and then it will be sufficient to use the current single </w:t>
      </w:r>
      <w:r>
        <w:rPr>
          <w:rFonts w:eastAsia="宋体"/>
        </w:rPr>
        <w:t>“</w:t>
      </w:r>
      <w:r>
        <w:rPr>
          <w:rFonts w:hint="eastAsia" w:eastAsia="宋体"/>
        </w:rPr>
        <w:t>Antenna ports field</w:t>
      </w:r>
      <w:r>
        <w:rPr>
          <w:rFonts w:eastAsia="宋体"/>
        </w:rPr>
        <w:t>”</w:t>
      </w:r>
      <w:r>
        <w:rPr>
          <w:rFonts w:hint="eastAsia" w:eastAsia="宋体"/>
        </w:rPr>
        <w:t xml:space="preserve"> in DCI format 0_1/0_2 to fulfill DMRS ports indication, where the sum of ranks among two panels is used to determine the value of DMRS ports indication.</w:t>
      </w:r>
    </w:p>
    <w:p>
      <w:pPr>
        <w:spacing w:before="108" w:after="108"/>
        <w:rPr>
          <w:rFonts w:eastAsia="宋体"/>
        </w:rPr>
      </w:pPr>
      <w:r>
        <w:rPr>
          <w:rFonts w:hint="eastAsia" w:eastAsia="宋体"/>
        </w:rPr>
        <w:t>Besides, when DMRS ports across two panels cannot be allocated in the same CDM group and in case of layer combinations {1+2, 1+3, 3+1}, some new entries need to be introduced for such cases. For example, the new entry (0, 2, 3) for layer combination {1+2} should be added in the current DMRS ports indication tables in TS 38.212.</w:t>
      </w:r>
    </w:p>
    <w:p>
      <w:pPr>
        <w:spacing w:before="108" w:after="108"/>
        <w:rPr>
          <w:rFonts w:eastAsia="宋体"/>
          <w:i/>
          <w:iCs/>
        </w:rPr>
      </w:pPr>
      <w:r>
        <w:rPr>
          <w:rFonts w:hint="eastAsia" w:eastAsia="宋体"/>
          <w:b/>
          <w:bCs/>
          <w:i/>
          <w:iCs/>
        </w:rPr>
        <w:t>Proposal 6:</w:t>
      </w:r>
      <w:r>
        <w:rPr>
          <w:rFonts w:hint="eastAsia" w:eastAsia="宋体"/>
          <w:i/>
          <w:iCs/>
        </w:rPr>
        <w:t xml:space="preserve"> Reuse the current single Antenna ports field in DCI format 0_1/0_2 to indicate up to two CDM groups for PUSCH transmission associated with the first and the second SRS resource sets. </w:t>
      </w:r>
    </w:p>
    <w:p>
      <w:pPr>
        <w:numPr>
          <w:ilvl w:val="0"/>
          <w:numId w:val="12"/>
        </w:numPr>
        <w:spacing w:before="108" w:after="108"/>
        <w:rPr>
          <w:rFonts w:eastAsia="宋体"/>
          <w:i/>
          <w:iCs/>
        </w:rPr>
      </w:pPr>
      <w:r>
        <w:rPr>
          <w:rFonts w:hint="eastAsia" w:eastAsia="宋体"/>
          <w:i/>
          <w:iCs/>
        </w:rPr>
        <w:t xml:space="preserve">The sum of ranks among two panels is used to determine the value of the DMRS port indication table. </w:t>
      </w:r>
    </w:p>
    <w:p>
      <w:pPr>
        <w:numPr>
          <w:ilvl w:val="0"/>
          <w:numId w:val="12"/>
        </w:numPr>
        <w:spacing w:before="108" w:after="108"/>
        <w:rPr>
          <w:rFonts w:eastAsia="宋体"/>
          <w:i/>
          <w:iCs/>
        </w:rPr>
      </w:pPr>
      <w:r>
        <w:rPr>
          <w:rFonts w:hint="eastAsia" w:eastAsia="宋体"/>
          <w:i/>
          <w:iCs/>
        </w:rPr>
        <w:t>DMRS ports among two panels can be allocated in the same or different CDM groups.</w:t>
      </w:r>
    </w:p>
    <w:p>
      <w:pPr>
        <w:numPr>
          <w:ilvl w:val="0"/>
          <w:numId w:val="12"/>
        </w:numPr>
        <w:spacing w:before="108" w:after="108"/>
        <w:rPr>
          <w:rFonts w:eastAsia="宋体"/>
          <w:i/>
          <w:iCs/>
        </w:rPr>
      </w:pPr>
      <w:r>
        <w:rPr>
          <w:rFonts w:hint="eastAsia" w:eastAsia="宋体"/>
          <w:i/>
          <w:iCs/>
        </w:rPr>
        <w:t>Note: DMRS ports partition between two panels can be derived from the rank indication by two TPMI fields for CB PUSCH and two SRI fields for NCB PUSCH.</w:t>
      </w:r>
    </w:p>
    <w:p>
      <w:pPr>
        <w:numPr>
          <w:ilvl w:val="0"/>
          <w:numId w:val="12"/>
        </w:numPr>
        <w:spacing w:before="108" w:after="108"/>
      </w:pPr>
      <w:r>
        <w:rPr>
          <w:rFonts w:hint="eastAsia" w:eastAsia="宋体"/>
          <w:i/>
          <w:iCs/>
        </w:rPr>
        <w:t xml:space="preserve">FFS: Newly added entries in the DMRS port indication table for layer combinations {1+2, 1+3, 3+1} in case of </w:t>
      </w:r>
      <w:r>
        <w:rPr>
          <w:rFonts w:hint="eastAsia" w:eastAsia="宋体"/>
          <w:i/>
          <w:iCs/>
          <w:lang w:val="en-US" w:eastAsia="zh-CN"/>
        </w:rPr>
        <w:t xml:space="preserve">different </w:t>
      </w:r>
      <w:r>
        <w:rPr>
          <w:rFonts w:hint="eastAsia" w:eastAsia="宋体"/>
          <w:i/>
          <w:iCs/>
        </w:rPr>
        <w:t>CDM group</w:t>
      </w:r>
      <w:r>
        <w:rPr>
          <w:rFonts w:hint="eastAsia" w:eastAsia="宋体"/>
          <w:i/>
          <w:iCs/>
          <w:lang w:val="en-US" w:eastAsia="zh-CN"/>
        </w:rPr>
        <w:t>s</w:t>
      </w:r>
      <w:r>
        <w:rPr>
          <w:rFonts w:hint="eastAsia" w:eastAsia="宋体"/>
          <w:i/>
          <w:iCs/>
        </w:rPr>
        <w:t>.</w:t>
      </w:r>
    </w:p>
    <w:p>
      <w:pPr>
        <w:pStyle w:val="3"/>
        <w:spacing w:before="360" w:beforeLines="100" w:after="180"/>
        <w:ind w:left="431" w:hanging="431"/>
        <w:rPr>
          <w:lang w:val="en-US"/>
        </w:rPr>
      </w:pPr>
      <w:r>
        <w:rPr>
          <w:rFonts w:hint="eastAsia"/>
          <w:lang w:val="en-US"/>
        </w:rPr>
        <w:t>PTRS-DMRS association indication</w:t>
      </w:r>
    </w:p>
    <w:p>
      <w:pPr>
        <w:spacing w:before="108" w:after="108"/>
        <w:rPr>
          <w:rFonts w:eastAsia="宋体"/>
        </w:rPr>
      </w:pPr>
      <w:r>
        <w:rPr>
          <w:rFonts w:hint="eastAsia" w:eastAsia="宋体"/>
        </w:rPr>
        <w:t>For PTRS-DMRS association indication, it depends on the count of PTRS ports and DMRS ports within one panel. In other words, the association indication is only needed in case of PTRS ports number is less than DMRS ports number.</w:t>
      </w:r>
    </w:p>
    <w:p>
      <w:pPr>
        <w:spacing w:before="108" w:after="108"/>
        <w:rPr>
          <w:rFonts w:eastAsia="宋体"/>
        </w:rPr>
      </w:pPr>
      <w:r>
        <w:rPr>
          <w:rFonts w:hint="eastAsia" w:eastAsia="宋体"/>
        </w:rPr>
        <w:t xml:space="preserve">When the total number of PTRS ports across two panels is 2, and if the MP-UE is equipped with individual </w:t>
      </w:r>
      <w:r>
        <w:rPr>
          <w:rFonts w:eastAsia="宋体"/>
        </w:rPr>
        <w:t>oscillators</w:t>
      </w:r>
      <w:r>
        <w:rPr>
          <w:rFonts w:hint="eastAsia" w:eastAsia="宋体"/>
        </w:rPr>
        <w:t xml:space="preserve"> of each panel, it is natural to allocate 1 PTRS port in one panel for tracking phase variations across the transmission duration. Furthermore, the association indication is related to the layer combination of two panels.</w:t>
      </w:r>
    </w:p>
    <w:p>
      <w:pPr>
        <w:numPr>
          <w:ilvl w:val="0"/>
          <w:numId w:val="12"/>
        </w:numPr>
        <w:spacing w:before="108" w:after="108"/>
        <w:rPr>
          <w:rFonts w:eastAsia="宋体"/>
        </w:rPr>
      </w:pPr>
      <w:r>
        <w:rPr>
          <w:rFonts w:hint="eastAsia" w:eastAsia="宋体"/>
        </w:rPr>
        <w:t>For layer combination {1+1}, 1 PTRS port is associated to 1 DMRS port in each panel, the association indication in this case is not needed.</w:t>
      </w:r>
    </w:p>
    <w:p>
      <w:pPr>
        <w:numPr>
          <w:ilvl w:val="0"/>
          <w:numId w:val="12"/>
        </w:numPr>
        <w:spacing w:before="108" w:after="108"/>
        <w:rPr>
          <w:rFonts w:eastAsia="宋体"/>
        </w:rPr>
      </w:pPr>
      <w:r>
        <w:rPr>
          <w:rFonts w:hint="eastAsia" w:eastAsia="宋体"/>
        </w:rPr>
        <w:t>For layer combination {1+2, 2+1}, only the association of the panel transmits PUSCH with two layers needs to be indicated, in which 1 PTRS port is associated to 1 out of 2 DMRS ports. Correspondingly, Table 7.3.1.1.2-25 or Table 7.3.1.1.2-25A in the current TS 38.212 can be used in this case.</w:t>
      </w:r>
    </w:p>
    <w:p>
      <w:pPr>
        <w:numPr>
          <w:ilvl w:val="0"/>
          <w:numId w:val="12"/>
        </w:numPr>
        <w:spacing w:before="108" w:after="108"/>
        <w:rPr>
          <w:rFonts w:eastAsia="宋体"/>
        </w:rPr>
      </w:pPr>
      <w:r>
        <w:rPr>
          <w:rFonts w:hint="eastAsia" w:eastAsia="宋体"/>
        </w:rPr>
        <w:t>For layer combination {1+3, 3+1}, similarly, only the association of the panel transmits PUSCH with three layers needs to be indicated, in which 1 PTRS port is associated to 1 out of 3 DMRS ports, and Table 7.3.1.1.2-25 in the current TS 38.212 can be used in this case.</w:t>
      </w:r>
    </w:p>
    <w:p>
      <w:pPr>
        <w:numPr>
          <w:ilvl w:val="0"/>
          <w:numId w:val="12"/>
        </w:numPr>
        <w:spacing w:before="108" w:after="108"/>
        <w:rPr>
          <w:rFonts w:eastAsia="宋体"/>
        </w:rPr>
      </w:pPr>
      <w:r>
        <w:rPr>
          <w:rFonts w:hint="eastAsia" w:eastAsia="宋体"/>
        </w:rPr>
        <w:t>For layer combination {2+2}, both the associations of two panels should be indicated, where 1 PTRS port is associated to 1 out of 2 DMRS ports in each panel, and Table 7.3.1.1.2-25A in the current TS 38.212 can be used in this case.</w:t>
      </w:r>
    </w:p>
    <w:p>
      <w:pPr>
        <w:spacing w:before="108" w:after="108"/>
        <w:rPr>
          <w:rFonts w:eastAsia="宋体"/>
        </w:rPr>
      </w:pPr>
      <w:r>
        <w:rPr>
          <w:rFonts w:hint="eastAsia" w:eastAsia="宋体"/>
        </w:rPr>
        <w:t>For the case of more than 2 PTRS ports across two panels (e.g., 3 or 4 PTRS ports in total), the motivation should be clarified first, where the use case and MP-UE architecture should be taken into consideration. For instance, when the panel is equipped with 4 non/partial-coherent ports, it will be beneficial to support 2 PTRS ports for phase tracking in FR2. RAN1 could further study PTRS-DMRS association indication in such case. Besides, whether to support 3 or 4 PTRS ports can be UE optional.</w:t>
      </w:r>
    </w:p>
    <w:p>
      <w:pPr>
        <w:spacing w:before="108" w:after="108"/>
        <w:rPr>
          <w:i/>
          <w:iCs/>
        </w:rPr>
      </w:pPr>
      <w:r>
        <w:rPr>
          <w:rFonts w:hint="eastAsia" w:eastAsia="宋体"/>
          <w:b/>
          <w:bCs/>
          <w:i/>
          <w:iCs/>
        </w:rPr>
        <w:t xml:space="preserve">Proposal 7: </w:t>
      </w:r>
      <w:r>
        <w:rPr>
          <w:rFonts w:hint="eastAsia"/>
          <w:i/>
          <w:iCs/>
        </w:rPr>
        <w:t xml:space="preserve">Support 2 PTRS ports in SDM scheme </w:t>
      </w:r>
      <w:r>
        <w:rPr>
          <w:rFonts w:hint="eastAsia" w:eastAsia="宋体"/>
          <w:i/>
          <w:iCs/>
        </w:rPr>
        <w:t xml:space="preserve">based </w:t>
      </w:r>
      <w:r>
        <w:rPr>
          <w:rFonts w:hint="eastAsia"/>
          <w:i/>
          <w:iCs/>
        </w:rPr>
        <w:t>STxMP PUSCH and enhance the PTRS-DMRS association to associate each PTRS port with one DMRS port associated with each SRS resource set.</w:t>
      </w:r>
    </w:p>
    <w:p>
      <w:pPr>
        <w:numPr>
          <w:ilvl w:val="0"/>
          <w:numId w:val="12"/>
        </w:numPr>
        <w:spacing w:before="108" w:after="108"/>
        <w:rPr>
          <w:rFonts w:eastAsia="宋体"/>
          <w:i/>
          <w:iCs/>
        </w:rPr>
      </w:pPr>
      <w:r>
        <w:rPr>
          <w:rFonts w:hint="eastAsia" w:eastAsia="宋体"/>
          <w:i/>
          <w:iCs/>
        </w:rPr>
        <w:t>For layer combination {1+1}, no indication is needed.</w:t>
      </w:r>
    </w:p>
    <w:p>
      <w:pPr>
        <w:numPr>
          <w:ilvl w:val="0"/>
          <w:numId w:val="12"/>
        </w:numPr>
        <w:spacing w:before="108" w:after="108"/>
        <w:rPr>
          <w:rFonts w:eastAsia="宋体"/>
          <w:i/>
          <w:iCs/>
        </w:rPr>
      </w:pPr>
      <w:r>
        <w:rPr>
          <w:rFonts w:hint="eastAsia" w:eastAsia="宋体"/>
          <w:i/>
          <w:iCs/>
        </w:rPr>
        <w:t>For layer combinations {1+2, 2+1}, Table 7.3.1.1.2-25 or Table 7.3.1.1.2-25A in 38.212 is used for the association in which &gt; 1 DMRS ports.</w:t>
      </w:r>
    </w:p>
    <w:p>
      <w:pPr>
        <w:numPr>
          <w:ilvl w:val="0"/>
          <w:numId w:val="12"/>
        </w:numPr>
        <w:spacing w:before="108" w:after="108"/>
        <w:rPr>
          <w:rFonts w:eastAsia="宋体"/>
          <w:i/>
          <w:iCs/>
        </w:rPr>
      </w:pPr>
      <w:r>
        <w:rPr>
          <w:rFonts w:hint="eastAsia" w:eastAsia="宋体"/>
          <w:i/>
          <w:iCs/>
        </w:rPr>
        <w:t xml:space="preserve"> For layer combinations {1+3, 3+1}, Table 7.3.1.1.2-25 in 38.212 is used for the association in which &gt; 1 DMRS ports.</w:t>
      </w:r>
    </w:p>
    <w:p>
      <w:pPr>
        <w:numPr>
          <w:ilvl w:val="0"/>
          <w:numId w:val="12"/>
        </w:numPr>
        <w:spacing w:before="108" w:after="108"/>
        <w:rPr>
          <w:rFonts w:eastAsia="宋体"/>
          <w:i/>
          <w:iCs/>
        </w:rPr>
      </w:pPr>
      <w:r>
        <w:rPr>
          <w:rFonts w:hint="eastAsia" w:eastAsia="宋体"/>
          <w:i/>
          <w:iCs/>
        </w:rPr>
        <w:t>For layer combinations {2+2}, Table 7.3.1.1.2-25A is used. E.g., the MSB of the PTRS-DMRS association field indicates the DMRS port associated with PTRS port 0 and the LSB of the PTRS-DMRS association field indicates the DMRS port associated with PTRS port 1.</w:t>
      </w:r>
    </w:p>
    <w:p>
      <w:pPr>
        <w:numPr>
          <w:ilvl w:val="0"/>
          <w:numId w:val="12"/>
        </w:numPr>
        <w:spacing w:before="108" w:after="108"/>
      </w:pPr>
      <w:r>
        <w:rPr>
          <w:rFonts w:hint="eastAsia" w:eastAsia="宋体"/>
          <w:i/>
          <w:iCs/>
        </w:rPr>
        <w:t>FFS: Whether/how to support 3 and/or 4 PTRS ports among two panels.</w:t>
      </w:r>
    </w:p>
    <w:p>
      <w:pPr>
        <w:pStyle w:val="2"/>
        <w:keepNext/>
        <w:tabs>
          <w:tab w:val="left" w:pos="3686"/>
          <w:tab w:val="left" w:pos="4536"/>
        </w:tabs>
        <w:spacing w:before="360" w:beforeLines="100" w:after="180" w:line="240" w:lineRule="auto"/>
        <w:textAlignment w:val="baseline"/>
        <w:rPr>
          <w:lang w:val="en-US"/>
        </w:rPr>
      </w:pPr>
      <w:r>
        <w:rPr>
          <w:rFonts w:hint="eastAsia"/>
          <w:lang w:val="en-US"/>
        </w:rPr>
        <w:t>Multi-DCI based STxMP PUSCH+PUSCH transmission</w:t>
      </w:r>
    </w:p>
    <w:p>
      <w:pPr>
        <w:spacing w:before="108" w:after="108"/>
      </w:pPr>
      <w:r>
        <w:rPr>
          <w:rFonts w:hint="eastAsia"/>
        </w:rPr>
        <w:t xml:space="preserve">With respect to </w:t>
      </w:r>
      <w:r>
        <w:rPr>
          <w:rFonts w:ascii="Times" w:hAnsi="Times" w:cs="Times"/>
          <w:szCs w:val="20"/>
        </w:rPr>
        <w:t>multi-DCI based STxMP PUSCH+PUSCH transmission</w:t>
      </w:r>
      <w:r>
        <w:rPr>
          <w:rFonts w:hint="eastAsia"/>
        </w:rPr>
        <w:t xml:space="preserve">, one agreement was reached as follows in </w:t>
      </w:r>
      <w:r>
        <w:rPr>
          <w:rFonts w:hint="eastAsia" w:eastAsia="宋体"/>
        </w:rPr>
        <w:t xml:space="preserve">RAN1#109-e </w:t>
      </w:r>
      <w:r>
        <w:rPr>
          <w:rFonts w:hint="eastAsia"/>
        </w:rPr>
        <w:t>meeting [2].</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5"/>
              <w:spacing w:before="108" w:after="108"/>
              <w:rPr>
                <w:rFonts w:ascii="Times" w:hAnsi="Times" w:eastAsia="宋体" w:cs="Times"/>
                <w:sz w:val="20"/>
                <w:szCs w:val="20"/>
                <w:u w:val="single"/>
              </w:rPr>
            </w:pPr>
            <w:r>
              <w:rPr>
                <w:rFonts w:hint="eastAsia" w:ascii="Times" w:hAnsi="Times" w:eastAsia="宋体" w:cs="Times"/>
                <w:b/>
                <w:bCs/>
                <w:sz w:val="20"/>
                <w:szCs w:val="20"/>
                <w:u w:val="single"/>
              </w:rPr>
              <w:t>Agreement</w:t>
            </w:r>
          </w:p>
          <w:p>
            <w:pPr>
              <w:pStyle w:val="25"/>
              <w:spacing w:before="108" w:after="108"/>
              <w:rPr>
                <w:rFonts w:ascii="Times" w:hAnsi="Times" w:cs="Times"/>
                <w:sz w:val="20"/>
                <w:szCs w:val="20"/>
              </w:rPr>
            </w:pPr>
            <w:r>
              <w:rPr>
                <w:rFonts w:ascii="Times" w:hAnsi="Times" w:cs="Times"/>
                <w:sz w:val="20"/>
                <w:szCs w:val="20"/>
              </w:rPr>
              <w:t>For multi-DCI based STxMP PUSCH+PUSCH transmission, study and evaluate the following aspects:</w:t>
            </w:r>
          </w:p>
          <w:p>
            <w:pPr>
              <w:pStyle w:val="25"/>
              <w:numPr>
                <w:ilvl w:val="0"/>
                <w:numId w:val="13"/>
              </w:numPr>
              <w:spacing w:before="108" w:after="108"/>
              <w:rPr>
                <w:rFonts w:ascii="Times" w:hAnsi="Times" w:cs="Times"/>
                <w:sz w:val="20"/>
                <w:szCs w:val="20"/>
              </w:rPr>
            </w:pPr>
            <w:r>
              <w:rPr>
                <w:rFonts w:ascii="Times" w:hAnsi="Times" w:cs="Times"/>
                <w:sz w:val="20"/>
                <w:szCs w:val="20"/>
              </w:rPr>
              <w:t>Two PUSCHs are associated with different TRPs and transmitted from different UE panels. The total number of layers of these two PUSCHs is up to 4.</w:t>
            </w:r>
          </w:p>
          <w:p>
            <w:pPr>
              <w:pStyle w:val="50"/>
              <w:numPr>
                <w:ilvl w:val="0"/>
                <w:numId w:val="13"/>
              </w:numPr>
              <w:spacing w:before="108" w:after="108"/>
              <w:ind w:leftChars="0"/>
              <w:contextualSpacing/>
              <w:rPr>
                <w:rFonts w:cs="Times"/>
                <w:szCs w:val="18"/>
              </w:rPr>
            </w:pPr>
            <w:r>
              <w:rPr>
                <w:rFonts w:cs="Times"/>
                <w:szCs w:val="18"/>
              </w:rPr>
              <w:t>Study STxMP of PUSCH+PUSCH transmission where it is some combination of DG-PUSCH, CG-PUSCH and msg3/msgA PUSCH.</w:t>
            </w:r>
          </w:p>
          <w:p>
            <w:pPr>
              <w:pStyle w:val="25"/>
              <w:numPr>
                <w:ilvl w:val="0"/>
                <w:numId w:val="13"/>
              </w:numPr>
              <w:spacing w:before="108" w:after="108"/>
              <w:rPr>
                <w:rFonts w:ascii="Times" w:hAnsi="Times" w:cs="Times"/>
                <w:sz w:val="20"/>
                <w:szCs w:val="20"/>
              </w:rPr>
            </w:pPr>
            <w:r>
              <w:rPr>
                <w:rFonts w:ascii="Times" w:hAnsi="Times" w:cs="Times"/>
                <w:sz w:val="20"/>
                <w:szCs w:val="20"/>
              </w:rPr>
              <w:t>The overlapping type(s) of fully/partially in time domain and fully/partially/non-overlapping in frequency domain are to be studied and justified for PUSCH+PUSCH.</w:t>
            </w:r>
          </w:p>
          <w:p>
            <w:pPr>
              <w:spacing w:before="108" w:after="108"/>
              <w:rPr>
                <w:rFonts w:cs="Times"/>
                <w:szCs w:val="20"/>
              </w:rPr>
            </w:pPr>
            <w:r>
              <w:rPr>
                <w:rFonts w:cs="Times"/>
                <w:szCs w:val="20"/>
              </w:rPr>
              <w:t>Note: The above study shall take into account the UE implementation and RF considerations.</w:t>
            </w:r>
          </w:p>
          <w:p>
            <w:pPr>
              <w:spacing w:before="108" w:after="108"/>
              <w:rPr>
                <w:rFonts w:cs="Times"/>
                <w:szCs w:val="20"/>
              </w:rPr>
            </w:pPr>
            <w:r>
              <w:rPr>
                <w:rFonts w:cs="Times"/>
                <w:szCs w:val="20"/>
              </w:rPr>
              <w:t>Note: Study the conditions required for STxMP PUSCH+PUSCH.</w:t>
            </w:r>
          </w:p>
          <w:p>
            <w:pPr>
              <w:spacing w:before="108" w:after="108"/>
            </w:pPr>
            <w:r>
              <w:rPr>
                <w:rFonts w:cs="Times"/>
                <w:szCs w:val="20"/>
              </w:rPr>
              <w:t>Note: Other aspects are not precluded.</w:t>
            </w:r>
          </w:p>
        </w:tc>
      </w:tr>
    </w:tbl>
    <w:p>
      <w:pPr>
        <w:spacing w:before="180" w:beforeLines="50" w:after="108"/>
        <w:rPr>
          <w:rFonts w:ascii="Times" w:hAnsi="Times" w:eastAsia="宋体" w:cs="Times"/>
          <w:szCs w:val="20"/>
        </w:rPr>
      </w:pPr>
      <w:r>
        <w:rPr>
          <w:rFonts w:hint="eastAsia" w:eastAsia="宋体"/>
        </w:rPr>
        <w:t>In general, it is common that multi-DCI based PUSCH+PUSCH transmission could improve throughput, of which has already been supported by multi-</w:t>
      </w:r>
      <w:r>
        <w:rPr>
          <w:rFonts w:hint="eastAsia"/>
        </w:rPr>
        <w:t>DCI based MTRP PUCCH without time domain</w:t>
      </w:r>
      <w:r>
        <w:rPr>
          <w:rFonts w:hint="eastAsia" w:eastAsia="宋体"/>
        </w:rPr>
        <w:t xml:space="preserve"> </w:t>
      </w:r>
      <w:r>
        <w:rPr>
          <w:rFonts w:hint="eastAsia"/>
        </w:rPr>
        <w:t>overlapping</w:t>
      </w:r>
      <w:r>
        <w:rPr>
          <w:rFonts w:hint="eastAsia" w:eastAsia="宋体"/>
        </w:rPr>
        <w:t xml:space="preserve"> in the current specification, i.e., in-order scheme in Rel-15 and out-of-order scheme in Rel-16. Consequently, the legacy framework can be broadly reused to Rel-18 </w:t>
      </w:r>
      <w:r>
        <w:rPr>
          <w:rFonts w:ascii="Times" w:hAnsi="Times" w:cs="Times"/>
          <w:szCs w:val="20"/>
        </w:rPr>
        <w:t>multi-DCI based STxMP PUSCH+PUSCH transmission</w:t>
      </w:r>
      <w:r>
        <w:rPr>
          <w:rFonts w:hint="eastAsia" w:ascii="Times" w:hAnsi="Times" w:eastAsia="宋体" w:cs="Times"/>
          <w:szCs w:val="20"/>
        </w:rPr>
        <w:t xml:space="preserve">, e.g., </w:t>
      </w:r>
      <w:r>
        <w:rPr>
          <w:rFonts w:hint="eastAsia" w:ascii="Times" w:hAnsi="Times" w:eastAsia="宋体" w:cs="Times"/>
          <w:i/>
          <w:iCs/>
          <w:szCs w:val="20"/>
        </w:rPr>
        <w:t xml:space="preserve">CORESETPoolIndex </w:t>
      </w:r>
      <w:r>
        <w:rPr>
          <w:rFonts w:hint="eastAsia" w:ascii="Times" w:hAnsi="Times" w:eastAsia="宋体" w:cs="Times"/>
          <w:szCs w:val="20"/>
        </w:rPr>
        <w:t xml:space="preserve">is utilized to identify the panel/TRP. Due to the functionality of simultaneous uplink transmission by multi-panel UE, the benefit of latency reduction can be obtained additionally. Therefore, </w:t>
      </w:r>
      <w:r>
        <w:rPr>
          <w:rFonts w:ascii="Times" w:hAnsi="Times" w:cs="Times"/>
          <w:szCs w:val="20"/>
        </w:rPr>
        <w:t>multi-DCI based STxMP PUSCH+PUSCH transmission</w:t>
      </w:r>
      <w:r>
        <w:rPr>
          <w:rFonts w:hint="eastAsia" w:ascii="Times" w:hAnsi="Times" w:eastAsia="宋体" w:cs="Times"/>
          <w:szCs w:val="20"/>
        </w:rPr>
        <w:t xml:space="preserve"> needs to be supported.</w:t>
      </w:r>
    </w:p>
    <w:p>
      <w:pPr>
        <w:spacing w:before="108" w:after="108"/>
        <w:rPr>
          <w:rFonts w:ascii="Times" w:hAnsi="Times" w:eastAsia="宋体" w:cs="Times"/>
          <w:szCs w:val="20"/>
        </w:rPr>
      </w:pPr>
      <w:r>
        <w:rPr>
          <w:rFonts w:hint="eastAsia" w:ascii="Times" w:hAnsi="Times" w:eastAsia="宋体" w:cs="Times"/>
          <w:szCs w:val="20"/>
        </w:rPr>
        <w:t xml:space="preserve">Besides, overlapping type should be taken into consideration for </w:t>
      </w:r>
      <w:r>
        <w:rPr>
          <w:rFonts w:ascii="Times" w:hAnsi="Times" w:cs="Times"/>
          <w:szCs w:val="20"/>
        </w:rPr>
        <w:t>multi-DCI based STxMP PUSCH+PUSCH transmission</w:t>
      </w:r>
      <w:r>
        <w:rPr>
          <w:rFonts w:hint="eastAsia" w:ascii="Times" w:hAnsi="Times" w:eastAsia="宋体" w:cs="Times"/>
          <w:szCs w:val="20"/>
        </w:rPr>
        <w:t>. Compar</w:t>
      </w:r>
      <w:r>
        <w:rPr>
          <w:rFonts w:ascii="Times" w:hAnsi="Times" w:eastAsia="宋体" w:cs="Times"/>
          <w:szCs w:val="20"/>
        </w:rPr>
        <w:t>ed</w:t>
      </w:r>
      <w:r>
        <w:rPr>
          <w:rFonts w:hint="eastAsia" w:ascii="Times" w:hAnsi="Times" w:eastAsia="宋体" w:cs="Times"/>
          <w:szCs w:val="20"/>
        </w:rPr>
        <w:t xml:space="preserve"> with fully overlapping in time/frequency domain, PUSCH transmitting power may will be varied symbol by symbol in time domain or RE by RE in frequency domain, </w:t>
      </w:r>
      <w:r>
        <w:rPr>
          <w:rFonts w:ascii="Times" w:hAnsi="Times" w:eastAsia="宋体" w:cs="Times"/>
          <w:szCs w:val="20"/>
        </w:rPr>
        <w:t xml:space="preserve">and </w:t>
      </w:r>
      <w:r>
        <w:rPr>
          <w:rFonts w:hint="eastAsia" w:ascii="Times" w:hAnsi="Times" w:eastAsia="宋体" w:cs="Times"/>
          <w:szCs w:val="20"/>
        </w:rPr>
        <w:t xml:space="preserve">this well-demanded requirement will be </w:t>
      </w:r>
      <w:r>
        <w:rPr>
          <w:rFonts w:ascii="Times" w:hAnsi="Times" w:eastAsia="宋体" w:cs="Times"/>
          <w:szCs w:val="20"/>
        </w:rPr>
        <w:t xml:space="preserve">a </w:t>
      </w:r>
      <w:r>
        <w:rPr>
          <w:rFonts w:hint="eastAsia" w:ascii="Times" w:hAnsi="Times" w:eastAsia="宋体" w:cs="Times"/>
          <w:szCs w:val="20"/>
        </w:rPr>
        <w:t>challeng</w:t>
      </w:r>
      <w:r>
        <w:rPr>
          <w:rFonts w:ascii="Times" w:hAnsi="Times" w:eastAsia="宋体" w:cs="Times"/>
          <w:szCs w:val="20"/>
        </w:rPr>
        <w:t>e</w:t>
      </w:r>
      <w:r>
        <w:rPr>
          <w:rFonts w:hint="eastAsia" w:ascii="Times" w:hAnsi="Times" w:eastAsia="宋体" w:cs="Times"/>
          <w:szCs w:val="20"/>
        </w:rPr>
        <w:t xml:space="preserve"> for UE implementation and needs further assess</w:t>
      </w:r>
      <w:r>
        <w:rPr>
          <w:rFonts w:ascii="Times" w:hAnsi="Times" w:eastAsia="宋体" w:cs="Times"/>
          <w:szCs w:val="20"/>
        </w:rPr>
        <w:t>ment</w:t>
      </w:r>
      <w:r>
        <w:rPr>
          <w:rFonts w:hint="eastAsia" w:ascii="Times" w:hAnsi="Times" w:eastAsia="宋体" w:cs="Times"/>
          <w:szCs w:val="20"/>
        </w:rPr>
        <w:t>. With regards to how to allocate output power among two panels in case of fully overlapping, it could be discussion in AI 9.1.1.1. For the case of partially overlapping in time/frequency domain, it could be friendly and easier to NW scheduling when considering non-ideal back-haul assumption of MDCI based MTRP operation. Taken UE implementation and NW scheduling into consideration, both fully and partially overlapping in time/frequency domain can be supported for MDCI based STxMP PUSCH+PUSCH transmission.</w:t>
      </w:r>
    </w:p>
    <w:p>
      <w:pPr>
        <w:spacing w:before="108" w:after="180" w:afterLines="50"/>
        <w:rPr>
          <w:b/>
          <w:bCs/>
        </w:rPr>
      </w:pPr>
      <w:r>
        <w:rPr>
          <w:rFonts w:hint="eastAsia"/>
          <w:b/>
          <w:bCs/>
          <w:i/>
          <w:iCs/>
        </w:rPr>
        <w:t xml:space="preserve">Proposal </w:t>
      </w:r>
      <w:r>
        <w:rPr>
          <w:rFonts w:hint="eastAsia" w:eastAsia="宋体"/>
          <w:b/>
          <w:bCs/>
          <w:i/>
          <w:iCs/>
        </w:rPr>
        <w:t>8</w:t>
      </w:r>
      <w:r>
        <w:rPr>
          <w:rFonts w:hint="eastAsia"/>
          <w:b/>
          <w:bCs/>
          <w:i/>
          <w:iCs/>
        </w:rPr>
        <w:t xml:space="preserve">: </w:t>
      </w:r>
      <w:r>
        <w:rPr>
          <w:rFonts w:hint="eastAsia"/>
          <w:i/>
          <w:iCs/>
        </w:rPr>
        <w:t>Support of</w:t>
      </w:r>
      <w:r>
        <w:rPr>
          <w:rFonts w:hint="eastAsia" w:ascii="Times" w:hAnsi="Times" w:eastAsia="宋体" w:cs="Times"/>
          <w:i/>
          <w:iCs/>
          <w:szCs w:val="20"/>
        </w:rPr>
        <w:t xml:space="preserve"> </w:t>
      </w:r>
      <w:r>
        <w:rPr>
          <w:rFonts w:hint="eastAsia" w:eastAsia="宋体"/>
          <w:i/>
          <w:iCs/>
        </w:rPr>
        <w:t>multi-</w:t>
      </w:r>
      <w:r>
        <w:rPr>
          <w:rFonts w:hint="eastAsia"/>
          <w:i/>
          <w:iCs/>
        </w:rPr>
        <w:t xml:space="preserve">DCI based </w:t>
      </w:r>
      <w:r>
        <w:rPr>
          <w:rFonts w:ascii="Times" w:hAnsi="Times" w:cs="Times"/>
          <w:i/>
          <w:iCs/>
          <w:szCs w:val="20"/>
        </w:rPr>
        <w:t>STxMP PUSCH+PUSCH transmission</w:t>
      </w:r>
      <w:r>
        <w:rPr>
          <w:rFonts w:hint="eastAsia" w:ascii="Times" w:hAnsi="Times" w:eastAsia="宋体" w:cs="Times"/>
          <w:i/>
          <w:iCs/>
          <w:szCs w:val="20"/>
        </w:rPr>
        <w:t xml:space="preserve"> for throughput improvement, where fully or partially </w:t>
      </w:r>
      <w:r>
        <w:rPr>
          <w:rFonts w:ascii="Times" w:hAnsi="Times" w:cs="Times"/>
          <w:i/>
          <w:iCs/>
          <w:szCs w:val="20"/>
        </w:rPr>
        <w:t>overlapping in time</w:t>
      </w:r>
      <w:r>
        <w:rPr>
          <w:rFonts w:hint="eastAsia" w:ascii="Times" w:hAnsi="Times" w:eastAsia="宋体" w:cs="Times"/>
          <w:i/>
          <w:iCs/>
          <w:szCs w:val="20"/>
        </w:rPr>
        <w:t>/frequency</w:t>
      </w:r>
      <w:r>
        <w:rPr>
          <w:rFonts w:ascii="Times" w:hAnsi="Times" w:cs="Times"/>
          <w:i/>
          <w:iCs/>
          <w:szCs w:val="20"/>
        </w:rPr>
        <w:t xml:space="preserve"> domain</w:t>
      </w:r>
      <w:r>
        <w:rPr>
          <w:rFonts w:hint="eastAsia" w:ascii="Times" w:hAnsi="Times" w:eastAsia="宋体" w:cs="Times"/>
          <w:i/>
          <w:iCs/>
          <w:szCs w:val="20"/>
        </w:rPr>
        <w:t xml:space="preserve"> can be allowable.</w:t>
      </w:r>
      <w:r>
        <w:rPr>
          <w:rFonts w:ascii="Times" w:hAnsi="Times" w:cs="Times"/>
          <w:i/>
          <w:iCs/>
          <w:szCs w:val="20"/>
        </w:rPr>
        <w:t xml:space="preserve"> </w:t>
      </w:r>
    </w:p>
    <w:p>
      <w:pPr>
        <w:spacing w:before="108" w:after="108"/>
      </w:pPr>
      <w:r>
        <w:rPr>
          <w:rFonts w:hint="eastAsia" w:eastAsia="宋体"/>
        </w:rPr>
        <w:t xml:space="preserve">For </w:t>
      </w:r>
      <w:r>
        <w:rPr>
          <w:rFonts w:hint="eastAsia"/>
        </w:rPr>
        <w:t xml:space="preserve">multi-DCI based </w:t>
      </w:r>
      <w:r>
        <w:rPr>
          <w:rFonts w:hint="eastAsia" w:eastAsia="宋体"/>
        </w:rPr>
        <w:t xml:space="preserve">STxMP PUSCH+PUSCH repetition in </w:t>
      </w:r>
      <w:r>
        <w:rPr>
          <w:rFonts w:hint="eastAsia"/>
        </w:rPr>
        <w:t>MTRP</w:t>
      </w:r>
      <w:r>
        <w:rPr>
          <w:rFonts w:hint="eastAsia" w:eastAsia="宋体"/>
        </w:rPr>
        <w:t xml:space="preserve"> operation</w:t>
      </w:r>
      <w:r>
        <w:rPr>
          <w:rFonts w:hint="eastAsia"/>
        </w:rPr>
        <w:t xml:space="preserve">, two </w:t>
      </w:r>
      <w:r>
        <w:rPr>
          <w:rFonts w:hint="eastAsia" w:eastAsia="宋体"/>
        </w:rPr>
        <w:t xml:space="preserve">PUSCH </w:t>
      </w:r>
      <w:r>
        <w:rPr>
          <w:rFonts w:hint="eastAsia"/>
        </w:rPr>
        <w:t>repetitions are scheduled by two different DCIs and configured with different beams, where these two PUSCH</w:t>
      </w:r>
      <w:r>
        <w:t xml:space="preserve"> transmissions</w:t>
      </w:r>
      <w:r>
        <w:rPr>
          <w:rFonts w:hint="eastAsia"/>
        </w:rPr>
        <w:t xml:space="preserve"> can be fully or partially overlapped within time and/or frequency domain. As shown in </w:t>
      </w:r>
      <w:r>
        <w:rPr>
          <w:rFonts w:hint="eastAsia" w:eastAsia="宋体"/>
        </w:rPr>
        <w:t>F</w:t>
      </w:r>
      <w:r>
        <w:rPr>
          <w:rFonts w:hint="eastAsia"/>
        </w:rPr>
        <w:t>igure</w:t>
      </w:r>
      <w:r>
        <w:rPr>
          <w:rFonts w:hint="eastAsia" w:eastAsia="宋体"/>
        </w:rPr>
        <w:t xml:space="preserve"> 3</w:t>
      </w:r>
      <w:r>
        <w:rPr>
          <w:rFonts w:hint="eastAsia"/>
        </w:rPr>
        <w:t xml:space="preserve">, two PUSCH repetitions </w:t>
      </w:r>
      <w:r>
        <w:t>corresponding to</w:t>
      </w:r>
      <w:r>
        <w:rPr>
          <w:rFonts w:hint="eastAsia"/>
        </w:rPr>
        <w:t xml:space="preserve"> individual beams are transmitted from two UE panels towards two TRPs. </w:t>
      </w:r>
    </w:p>
    <w:p>
      <w:pPr>
        <w:spacing w:before="108" w:after="0" w:afterLines="0"/>
        <w:jc w:val="center"/>
      </w:pPr>
      <w:r>
        <w:drawing>
          <wp:inline distT="0" distB="0" distL="114300" distR="114300">
            <wp:extent cx="2323465" cy="1516380"/>
            <wp:effectExtent l="0" t="0" r="8255" b="762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15"/>
                    <a:stretch>
                      <a:fillRect/>
                    </a:stretch>
                  </pic:blipFill>
                  <pic:spPr>
                    <a:xfrm>
                      <a:off x="0" y="0"/>
                      <a:ext cx="2323465" cy="1516380"/>
                    </a:xfrm>
                    <a:prstGeom prst="rect">
                      <a:avLst/>
                    </a:prstGeom>
                    <a:noFill/>
                    <a:ln>
                      <a:noFill/>
                    </a:ln>
                  </pic:spPr>
                </pic:pic>
              </a:graphicData>
            </a:graphic>
          </wp:inline>
        </w:drawing>
      </w:r>
    </w:p>
    <w:p>
      <w:pPr>
        <w:spacing w:before="0" w:beforeLines="0" w:after="108"/>
        <w:jc w:val="center"/>
        <w:rPr>
          <w:rFonts w:eastAsia="宋体"/>
        </w:rPr>
      </w:pPr>
      <w:r>
        <w:rPr>
          <w:rFonts w:hint="eastAsia"/>
          <w:b/>
          <w:bCs/>
        </w:rPr>
        <w:t>Fig</w:t>
      </w:r>
      <w:r>
        <w:rPr>
          <w:rFonts w:hint="eastAsia" w:eastAsia="宋体"/>
          <w:b/>
          <w:bCs/>
        </w:rPr>
        <w:t>ure 3</w:t>
      </w:r>
      <w:r>
        <w:rPr>
          <w:rFonts w:hint="eastAsia"/>
        </w:rPr>
        <w:tab/>
      </w:r>
      <w:r>
        <w:rPr>
          <w:rFonts w:hint="eastAsia"/>
        </w:rPr>
        <w:t xml:space="preserve">Multi-DCI based </w:t>
      </w:r>
      <w:r>
        <w:rPr>
          <w:rFonts w:hint="eastAsia" w:eastAsia="宋体"/>
        </w:rPr>
        <w:t xml:space="preserve">STxMP PUSCH+PUSCH repetition in </w:t>
      </w:r>
      <w:r>
        <w:rPr>
          <w:rFonts w:hint="eastAsia"/>
        </w:rPr>
        <w:t xml:space="preserve">MTRP </w:t>
      </w:r>
      <w:r>
        <w:rPr>
          <w:rFonts w:hint="eastAsia" w:eastAsia="宋体"/>
        </w:rPr>
        <w:t>operation</w:t>
      </w:r>
    </w:p>
    <w:p>
      <w:pPr>
        <w:spacing w:before="108" w:after="108"/>
      </w:pPr>
      <w:r>
        <w:rPr>
          <w:rFonts w:hint="eastAsia"/>
        </w:rPr>
        <w:t xml:space="preserve">The advantage of this scheme is that the reliability of PDCCH can be enhanced besides PUSCH. One main issue is how to distinguish the TRP that PUSCH repetition towards, and then the association of the dynamic PUSCH with </w:t>
      </w:r>
      <w:r>
        <w:rPr>
          <w:rFonts w:hint="eastAsia"/>
          <w:i/>
          <w:iCs/>
        </w:rPr>
        <w:t xml:space="preserve">CORESETPoolIndex </w:t>
      </w:r>
      <w:r>
        <w:rPr>
          <w:rFonts w:hint="eastAsia"/>
        </w:rPr>
        <w:t xml:space="preserve">value in MDCI based MTRP PUSCH scheme in Rel-16 can be referenced. That is, the UE can distinguish the TRP for the PUSCH repetition through the </w:t>
      </w:r>
      <w:r>
        <w:rPr>
          <w:rFonts w:hint="eastAsia"/>
          <w:i/>
          <w:iCs/>
        </w:rPr>
        <w:t xml:space="preserve">CORESETPoolIndex </w:t>
      </w:r>
      <w:r>
        <w:rPr>
          <w:rFonts w:hint="eastAsia"/>
        </w:rPr>
        <w:t>value of the CORESET in which the UL DCI is detected and different from the PUSCH of the initial transmission. Based on this, it can be inferred that the specification impact of this scheme will not be too huge.</w:t>
      </w:r>
    </w:p>
    <w:p>
      <w:pPr>
        <w:spacing w:before="108" w:after="180" w:afterLines="50"/>
        <w:rPr>
          <w:rFonts w:eastAsia="宋体"/>
        </w:rPr>
      </w:pPr>
      <w:r>
        <w:rPr>
          <w:rFonts w:hint="eastAsia" w:eastAsia="宋体"/>
          <w:b/>
          <w:bCs/>
          <w:i/>
          <w:iCs/>
        </w:rPr>
        <w:t>Proposal</w:t>
      </w:r>
      <w:r>
        <w:rPr>
          <w:rFonts w:hint="eastAsia"/>
          <w:b/>
          <w:bCs/>
          <w:i/>
          <w:iCs/>
        </w:rPr>
        <w:t xml:space="preserve"> </w:t>
      </w:r>
      <w:r>
        <w:rPr>
          <w:rFonts w:hint="eastAsia" w:eastAsia="宋体"/>
          <w:b/>
          <w:bCs/>
          <w:i/>
          <w:iCs/>
        </w:rPr>
        <w:t>9</w:t>
      </w:r>
      <w:r>
        <w:rPr>
          <w:rFonts w:hint="eastAsia"/>
          <w:b/>
          <w:bCs/>
          <w:i/>
          <w:iCs/>
        </w:rPr>
        <w:t>:</w:t>
      </w:r>
      <w:r>
        <w:rPr>
          <w:rFonts w:hint="eastAsia"/>
          <w:i/>
          <w:iCs/>
        </w:rPr>
        <w:t xml:space="preserve"> </w:t>
      </w:r>
      <w:r>
        <w:rPr>
          <w:rFonts w:hint="eastAsia" w:eastAsia="宋体"/>
          <w:i/>
          <w:iCs/>
        </w:rPr>
        <w:t>Support of multi-</w:t>
      </w:r>
      <w:r>
        <w:rPr>
          <w:rFonts w:hint="eastAsia"/>
          <w:i/>
          <w:iCs/>
        </w:rPr>
        <w:t xml:space="preserve">DCI based </w:t>
      </w:r>
      <w:r>
        <w:rPr>
          <w:rFonts w:ascii="Times" w:hAnsi="Times" w:cs="Times"/>
          <w:i/>
          <w:iCs/>
          <w:szCs w:val="20"/>
        </w:rPr>
        <w:t xml:space="preserve">STxMP PUSCH+PUSCH </w:t>
      </w:r>
      <w:r>
        <w:rPr>
          <w:rFonts w:hint="eastAsia" w:ascii="Times" w:hAnsi="Times" w:eastAsia="宋体" w:cs="Times"/>
          <w:i/>
          <w:iCs/>
          <w:szCs w:val="20"/>
        </w:rPr>
        <w:t>repetition, which is beneficial to enhance reliability of PUSCH as well as PDCCH.</w:t>
      </w:r>
    </w:p>
    <w:p>
      <w:pPr>
        <w:pStyle w:val="2"/>
        <w:keepNext/>
        <w:tabs>
          <w:tab w:val="left" w:pos="3686"/>
          <w:tab w:val="left" w:pos="4536"/>
        </w:tabs>
        <w:spacing w:before="360" w:beforeLines="100" w:after="180" w:line="240" w:lineRule="auto"/>
        <w:textAlignment w:val="baseline"/>
        <w:rPr>
          <w:lang w:val="en-US"/>
        </w:rPr>
      </w:pPr>
      <w:r>
        <w:rPr>
          <w:rFonts w:hint="eastAsia"/>
          <w:lang w:val="en-US"/>
        </w:rPr>
        <w:t>STxMP PUCCH transmission</w:t>
      </w:r>
    </w:p>
    <w:p>
      <w:pPr>
        <w:spacing w:before="108" w:after="108"/>
      </w:pPr>
      <w:r>
        <w:rPr>
          <w:rFonts w:hint="eastAsia"/>
        </w:rPr>
        <w:t>Basically, both single DCI and multi-DCI based STxMP PUCCH</w:t>
      </w:r>
      <w:r>
        <w:t xml:space="preserve"> </w:t>
      </w:r>
      <w:r>
        <w:rPr>
          <w:rFonts w:hint="eastAsia" w:eastAsia="宋体"/>
        </w:rPr>
        <w:t>transmission</w:t>
      </w:r>
      <w:r>
        <w:rPr>
          <w:rFonts w:hint="eastAsia"/>
        </w:rPr>
        <w:t xml:space="preserve"> can be enabled and supported for higher reliability and/or throughput in Rel-18. Consequently, the transmission scheme for these two scheduling modes are analyzed as follows:</w:t>
      </w:r>
    </w:p>
    <w:p>
      <w:pPr>
        <w:numPr>
          <w:ilvl w:val="0"/>
          <w:numId w:val="16"/>
        </w:numPr>
        <w:spacing w:before="108" w:after="108"/>
      </w:pPr>
      <w:r>
        <w:rPr>
          <w:rFonts w:hint="eastAsia"/>
        </w:rPr>
        <w:t>For the transmission scheme of single DCI based STxMP PUCCH</w:t>
      </w:r>
      <w:r>
        <w:rPr>
          <w:rFonts w:hint="eastAsia" w:eastAsia="宋体"/>
        </w:rPr>
        <w:t xml:space="preserve"> transmission</w:t>
      </w:r>
      <w:r>
        <w:rPr>
          <w:rFonts w:hint="eastAsia"/>
        </w:rPr>
        <w:t>, it could use the design of single DCI based STxMP PUSCH</w:t>
      </w:r>
      <w:r>
        <w:rPr>
          <w:rFonts w:hint="eastAsia" w:eastAsia="宋体"/>
        </w:rPr>
        <w:t xml:space="preserve"> transmission</w:t>
      </w:r>
      <w:r>
        <w:rPr>
          <w:rFonts w:hint="eastAsia"/>
        </w:rPr>
        <w:t>, where up to five transmission schemes could be exploited. First, both PUSCH and PUCCH were enable</w:t>
      </w:r>
      <w:r>
        <w:t>d</w:t>
      </w:r>
      <w:r>
        <w:rPr>
          <w:rFonts w:hint="eastAsia"/>
        </w:rPr>
        <w:t xml:space="preserve"> by TDM scheme in single DCI based MTRP operation for reliability enhancement, and then intra-slot based and inter-slot based repetition schemes were specified. Second, from the perspective of UE implementation complexity as well as gNB scheduling diversity, the differentiation between STxMP PUSCH</w:t>
      </w:r>
      <w:r>
        <w:rPr>
          <w:rFonts w:hint="eastAsia" w:eastAsia="宋体"/>
        </w:rPr>
        <w:t xml:space="preserve"> transmission</w:t>
      </w:r>
      <w:r>
        <w:rPr>
          <w:rFonts w:hint="eastAsia"/>
        </w:rPr>
        <w:t xml:space="preserve"> and STxMP PUCCH</w:t>
      </w:r>
      <w:r>
        <w:rPr>
          <w:rFonts w:hint="eastAsia" w:eastAsia="宋体"/>
        </w:rPr>
        <w:t xml:space="preserve"> transmission</w:t>
      </w:r>
      <w:r>
        <w:rPr>
          <w:rFonts w:hint="eastAsia"/>
        </w:rPr>
        <w:t xml:space="preserve"> is quite marginal. Third, this way could avoid repetitive discussion and may lead to a good process. Therefore, it is proper to reuse the transmission schemes of STxMP PUSCH</w:t>
      </w:r>
      <w:r>
        <w:rPr>
          <w:rFonts w:hint="eastAsia" w:eastAsia="宋体"/>
        </w:rPr>
        <w:t xml:space="preserve"> transmission</w:t>
      </w:r>
      <w:r>
        <w:rPr>
          <w:rFonts w:hint="eastAsia"/>
        </w:rPr>
        <w:t xml:space="preserve"> for STxMP PUCCH</w:t>
      </w:r>
      <w:r>
        <w:rPr>
          <w:rFonts w:hint="eastAsia" w:eastAsia="宋体"/>
        </w:rPr>
        <w:t xml:space="preserve"> transmission</w:t>
      </w:r>
      <w:r>
        <w:rPr>
          <w:rFonts w:hint="eastAsia"/>
        </w:rPr>
        <w:t>. Further, transmission scheme of STxMP PUCCH</w:t>
      </w:r>
      <w:r>
        <w:rPr>
          <w:rFonts w:hint="eastAsia" w:eastAsia="宋体"/>
        </w:rPr>
        <w:t xml:space="preserve"> transmission</w:t>
      </w:r>
      <w:r>
        <w:rPr>
          <w:rFonts w:hint="eastAsia"/>
        </w:rPr>
        <w:t xml:space="preserve"> could be down-selected from that of STxMP PUSCH</w:t>
      </w:r>
      <w:r>
        <w:rPr>
          <w:rFonts w:hint="eastAsia" w:eastAsia="宋体"/>
        </w:rPr>
        <w:t xml:space="preserve"> transmission</w:t>
      </w:r>
      <w:r>
        <w:rPr>
          <w:rFonts w:hint="eastAsia"/>
        </w:rPr>
        <w:t>.</w:t>
      </w:r>
    </w:p>
    <w:p>
      <w:pPr>
        <w:numPr>
          <w:ilvl w:val="0"/>
          <w:numId w:val="16"/>
        </w:numPr>
        <w:spacing w:before="108" w:after="108"/>
      </w:pPr>
      <w:r>
        <w:rPr>
          <w:rFonts w:hint="eastAsia"/>
        </w:rPr>
        <w:t xml:space="preserve">For the transmission scheme of multi-DCI based STxMP PUCCH+PUCCH </w:t>
      </w:r>
      <w:r>
        <w:rPr>
          <w:rFonts w:hint="eastAsia" w:eastAsia="宋体"/>
        </w:rPr>
        <w:t>transmission</w:t>
      </w:r>
      <w:r>
        <w:rPr>
          <w:rFonts w:hint="eastAsia"/>
        </w:rPr>
        <w:t>, given that UCI report</w:t>
      </w:r>
      <w:r>
        <w:rPr>
          <w:rFonts w:hint="eastAsia" w:eastAsia="宋体"/>
        </w:rPr>
        <w:t>ing</w:t>
      </w:r>
      <w:r>
        <w:rPr>
          <w:rFonts w:hint="eastAsia"/>
        </w:rPr>
        <w:t xml:space="preserve"> of </w:t>
      </w:r>
      <w:r>
        <w:rPr>
          <w:rFonts w:hint="eastAsia" w:eastAsia="宋体"/>
        </w:rPr>
        <w:t xml:space="preserve">separate/joint </w:t>
      </w:r>
      <w:r>
        <w:rPr>
          <w:rFonts w:hint="eastAsia"/>
        </w:rPr>
        <w:t xml:space="preserve">HARQ-ACK feedback was supported by </w:t>
      </w:r>
      <w:r>
        <w:rPr>
          <w:rFonts w:hint="eastAsia" w:eastAsia="宋体"/>
        </w:rPr>
        <w:t>multi-</w:t>
      </w:r>
      <w:r>
        <w:rPr>
          <w:rFonts w:hint="eastAsia"/>
        </w:rPr>
        <w:t>DCI based MTRP PUCCH</w:t>
      </w:r>
      <w:r>
        <w:rPr>
          <w:rFonts w:hint="eastAsia" w:eastAsia="宋体"/>
        </w:rPr>
        <w:t xml:space="preserve"> scheme, </w:t>
      </w:r>
      <w:r>
        <w:rPr>
          <w:rFonts w:hint="eastAsia"/>
        </w:rPr>
        <w:t xml:space="preserve">the spec impact </w:t>
      </w:r>
      <w:r>
        <w:rPr>
          <w:rFonts w:hint="eastAsia" w:eastAsia="宋体"/>
        </w:rPr>
        <w:t xml:space="preserve">to support </w:t>
      </w:r>
      <w:r>
        <w:rPr>
          <w:rFonts w:hint="eastAsia"/>
        </w:rPr>
        <w:t>multi-DCI based STxMP PUCCH+PUCCH</w:t>
      </w:r>
      <w:r>
        <w:rPr>
          <w:rFonts w:hint="eastAsia" w:eastAsia="宋体"/>
        </w:rPr>
        <w:t xml:space="preserve"> transmission</w:t>
      </w:r>
      <w:r>
        <w:rPr>
          <w:rFonts w:hint="eastAsia"/>
        </w:rPr>
        <w:t xml:space="preserve"> will be </w:t>
      </w:r>
      <w:r>
        <w:rPr>
          <w:rFonts w:hint="eastAsia" w:eastAsia="宋体"/>
        </w:rPr>
        <w:t xml:space="preserve">quite </w:t>
      </w:r>
      <w:r>
        <w:rPr>
          <w:rFonts w:hint="eastAsia"/>
        </w:rPr>
        <w:t>small.</w:t>
      </w:r>
      <w:r>
        <w:rPr>
          <w:rFonts w:hint="eastAsia" w:eastAsia="宋体"/>
        </w:rPr>
        <w:t xml:space="preserve"> Naturally, if the UE could support </w:t>
      </w:r>
      <w:r>
        <w:rPr>
          <w:rFonts w:hint="eastAsia"/>
        </w:rPr>
        <w:t>multi-DCI based STxMP PUSCH+PUSCH</w:t>
      </w:r>
      <w:r>
        <w:rPr>
          <w:rFonts w:hint="eastAsia" w:eastAsia="宋体"/>
        </w:rPr>
        <w:t xml:space="preserve"> transmission</w:t>
      </w:r>
      <w:r>
        <w:rPr>
          <w:rFonts w:hint="eastAsia"/>
        </w:rPr>
        <w:t>, it could also implement multi-DCI based STxMP PUCCH+PUCCH</w:t>
      </w:r>
      <w:r>
        <w:rPr>
          <w:rFonts w:hint="eastAsia" w:eastAsia="宋体"/>
        </w:rPr>
        <w:t xml:space="preserve"> transmission</w:t>
      </w:r>
      <w:r>
        <w:rPr>
          <w:rFonts w:hint="eastAsia"/>
        </w:rPr>
        <w:t>. Meanwhile, it is worthwhile to note that this scheme is very useful to enhance PUCCH throughput especially for UCI dropping/multiplexing. Regarding the overlapping type in time/frequency domain, at least fully overlapping can be treated as the starting point when considering the complexity of UE implementation besides the progress of this discussion.</w:t>
      </w:r>
    </w:p>
    <w:p>
      <w:pPr>
        <w:spacing w:before="108" w:after="108"/>
      </w:pPr>
      <w:r>
        <w:rPr>
          <w:rFonts w:hint="eastAsia"/>
        </w:rPr>
        <w:t>In light of the above elaboration, the following proposals are raised for the transmission scheme of STxMP PUCCH</w:t>
      </w:r>
      <w:r>
        <w:rPr>
          <w:rFonts w:hint="eastAsia" w:eastAsia="宋体"/>
        </w:rPr>
        <w:t xml:space="preserve"> transmission</w:t>
      </w:r>
      <w:r>
        <w:rPr>
          <w:rFonts w:hint="eastAsia"/>
        </w:rPr>
        <w:t xml:space="preserve"> in Rel-18.</w:t>
      </w:r>
    </w:p>
    <w:p>
      <w:pPr>
        <w:spacing w:before="108" w:after="108"/>
        <w:rPr>
          <w:i/>
          <w:iCs/>
        </w:rPr>
      </w:pPr>
      <w:r>
        <w:rPr>
          <w:rFonts w:hint="eastAsia"/>
          <w:b/>
          <w:bCs/>
          <w:i/>
          <w:iCs/>
        </w:rPr>
        <w:t xml:space="preserve">Proposal </w:t>
      </w:r>
      <w:r>
        <w:rPr>
          <w:rFonts w:hint="eastAsia" w:eastAsia="宋体"/>
          <w:b/>
          <w:bCs/>
          <w:i/>
          <w:iCs/>
        </w:rPr>
        <w:t>10</w:t>
      </w:r>
      <w:r>
        <w:rPr>
          <w:rFonts w:hint="eastAsia"/>
          <w:b/>
          <w:bCs/>
          <w:i/>
          <w:iCs/>
        </w:rPr>
        <w:t>:</w:t>
      </w:r>
      <w:r>
        <w:rPr>
          <w:rFonts w:hint="eastAsia"/>
          <w:i/>
          <w:iCs/>
        </w:rPr>
        <w:t xml:space="preserve"> For the transmission scheme of single DCI based STxMP PUCCH</w:t>
      </w:r>
      <w:r>
        <w:rPr>
          <w:rFonts w:hint="eastAsia" w:eastAsia="宋体"/>
          <w:i/>
          <w:iCs/>
        </w:rPr>
        <w:t xml:space="preserve"> transmission</w:t>
      </w:r>
      <w:r>
        <w:rPr>
          <w:rFonts w:hint="eastAsia"/>
          <w:i/>
          <w:iCs/>
        </w:rPr>
        <w:t>, it could be designed according to that of single DCI based STxMP PUSCH</w:t>
      </w:r>
      <w:r>
        <w:rPr>
          <w:rFonts w:hint="eastAsia" w:eastAsia="宋体"/>
          <w:i/>
          <w:iCs/>
        </w:rPr>
        <w:t xml:space="preserve"> transmission</w:t>
      </w:r>
      <w:r>
        <w:rPr>
          <w:rFonts w:hint="eastAsia"/>
          <w:i/>
          <w:iCs/>
        </w:rPr>
        <w:t>.</w:t>
      </w:r>
    </w:p>
    <w:p>
      <w:pPr>
        <w:spacing w:before="108" w:after="108"/>
        <w:rPr>
          <w:i/>
          <w:iCs/>
        </w:rPr>
      </w:pPr>
      <w:r>
        <w:rPr>
          <w:rFonts w:hint="eastAsia"/>
          <w:b/>
          <w:bCs/>
          <w:i/>
          <w:iCs/>
        </w:rPr>
        <w:t xml:space="preserve">Proposal </w:t>
      </w:r>
      <w:r>
        <w:rPr>
          <w:b/>
          <w:bCs/>
          <w:i/>
          <w:iCs/>
        </w:rPr>
        <w:t>1</w:t>
      </w:r>
      <w:r>
        <w:rPr>
          <w:rFonts w:hint="eastAsia" w:eastAsia="宋体"/>
          <w:b/>
          <w:bCs/>
          <w:i/>
          <w:iCs/>
        </w:rPr>
        <w:t>1</w:t>
      </w:r>
      <w:r>
        <w:rPr>
          <w:rFonts w:hint="eastAsia"/>
          <w:b/>
          <w:bCs/>
          <w:i/>
          <w:iCs/>
        </w:rPr>
        <w:t>:</w:t>
      </w:r>
      <w:r>
        <w:rPr>
          <w:rFonts w:hint="eastAsia"/>
          <w:i/>
          <w:iCs/>
        </w:rPr>
        <w:t xml:space="preserve">  Support of multi-DCI based STxMP PUCCH+PUCCH in MTRP operation for throughput improvement,</w:t>
      </w:r>
      <w:r>
        <w:rPr>
          <w:rFonts w:hint="eastAsia" w:ascii="Times" w:hAnsi="Times" w:eastAsia="宋体" w:cs="Times"/>
          <w:i/>
          <w:iCs/>
          <w:szCs w:val="20"/>
        </w:rPr>
        <w:t xml:space="preserve"> where fully or partially </w:t>
      </w:r>
      <w:r>
        <w:rPr>
          <w:rFonts w:ascii="Times" w:hAnsi="Times" w:cs="Times"/>
          <w:i/>
          <w:iCs/>
          <w:szCs w:val="20"/>
        </w:rPr>
        <w:t>overlapping in time</w:t>
      </w:r>
      <w:r>
        <w:rPr>
          <w:rFonts w:hint="eastAsia" w:ascii="Times" w:hAnsi="Times" w:eastAsia="宋体" w:cs="Times"/>
          <w:i/>
          <w:iCs/>
          <w:szCs w:val="20"/>
        </w:rPr>
        <w:t>/frequency</w:t>
      </w:r>
      <w:r>
        <w:rPr>
          <w:rFonts w:ascii="Times" w:hAnsi="Times" w:cs="Times"/>
          <w:i/>
          <w:iCs/>
          <w:szCs w:val="20"/>
        </w:rPr>
        <w:t xml:space="preserve"> domain</w:t>
      </w:r>
      <w:r>
        <w:rPr>
          <w:rFonts w:hint="eastAsia" w:ascii="Times" w:hAnsi="Times" w:eastAsia="宋体" w:cs="Times"/>
          <w:i/>
          <w:iCs/>
          <w:szCs w:val="20"/>
        </w:rPr>
        <w:t xml:space="preserve"> can be allowable.</w:t>
      </w:r>
    </w:p>
    <w:p>
      <w:pPr>
        <w:spacing w:before="108" w:after="108"/>
      </w:pPr>
      <w:r>
        <w:rPr>
          <w:rFonts w:hint="eastAsia"/>
        </w:rPr>
        <w:t>Regarding the enhancement on UL throughput in Rel-18, one important use case is to transmit two different UCI reports to avoid unnecessary contents dropping or UCI multiplexing.</w:t>
      </w:r>
    </w:p>
    <w:p>
      <w:pPr>
        <w:spacing w:before="108" w:after="108"/>
      </w:pPr>
      <w:r>
        <w:rPr>
          <w:rFonts w:hint="eastAsia"/>
        </w:rPr>
        <w:t xml:space="preserve">In Rel-15, the types of UCI can be HARQ ACK/NACK feedback, SR and CSI reporting, </w:t>
      </w:r>
      <w:r>
        <w:t xml:space="preserve">and </w:t>
      </w:r>
      <w:r>
        <w:rPr>
          <w:rFonts w:hint="eastAsia"/>
        </w:rPr>
        <w:t xml:space="preserve">these three elements are combined in various ways and can be reported in either PUCCH or PUSCH, i.e. HARQ ACK/NACK only, SR only, CSI only, HARQ ACK/NACK+SR, HARQ ACK/NACK+CSI, CSI+SR, HARQ ACK/NACK+SR+CSI. However, several restriction rules of the combinations are specified to guarantee the capability of the single-panel UE, such as the dropping rules made by UCI report with different priorities, UCI report with different types, UCI </w:t>
      </w:r>
      <w:r>
        <w:t>dropping</w:t>
      </w:r>
      <w:r>
        <w:rPr>
          <w:rFonts w:hint="eastAsia"/>
        </w:rPr>
        <w:t>, UCI multiplexing on PUSCH, etc. In Rel-16, although MDCI based MTRP PUSCH/PUCCH transmission scheme were supported, the certain aspects of these two transmission schemes were not optimized, e.g., only separate/joint feedback of HARQ ACK/NACK have been supported.</w:t>
      </w:r>
    </w:p>
    <w:p>
      <w:pPr>
        <w:spacing w:before="108" w:after="108"/>
      </w:pPr>
      <w:r>
        <w:rPr>
          <w:rFonts w:hint="eastAsia"/>
        </w:rPr>
        <w:t xml:space="preserve">In Rel-18, </w:t>
      </w:r>
      <w:r>
        <w:t xml:space="preserve">due to the advanced capability of simultaneous uplink transmission enabled by multi-panel UE, the legacy UCI multiplexing and dropping rules can be enhanced in case of multi-DCI based STxMP PUCCH+PUCCH </w:t>
      </w:r>
      <w:r>
        <w:rPr>
          <w:rFonts w:hint="eastAsia" w:eastAsia="宋体"/>
        </w:rPr>
        <w:t>transmission</w:t>
      </w:r>
      <w:r>
        <w:t>. More precisely, if UCI on different PUCCHs which are overlapped in time domain and also transmitted from different panels towards different TRPs, UCI could be loaded in these PUCCHs respectively. Otherwise, the legacy for UCI multiplexing and dropping rules should be followed. In other words, when multi-DCI based STxMP PUSCH+PUSCH</w:t>
      </w:r>
      <w:r>
        <w:rPr>
          <w:rFonts w:hint="eastAsia" w:eastAsia="宋体"/>
        </w:rPr>
        <w:t xml:space="preserve"> transmission</w:t>
      </w:r>
      <w:r>
        <w:t xml:space="preserve"> is performed, UCI on different PUCCHs across panels can be transmitted simultaneously but cannot be transmitted in case of within a panel. Besides, given that UCI can be multiplexed on PUSCH with uplink data, e.g., CSI piggyback, such enhancement should also be enabled by multi-DCI based STxMP PUSCH+PUSCH</w:t>
      </w:r>
      <w:r>
        <w:rPr>
          <w:rFonts w:hint="eastAsia" w:eastAsia="宋体"/>
        </w:rPr>
        <w:t xml:space="preserve"> transmission</w:t>
      </w:r>
      <w:r>
        <w:t>.</w:t>
      </w:r>
    </w:p>
    <w:p>
      <w:pPr>
        <w:spacing w:before="108" w:after="108"/>
      </w:pPr>
      <w:r>
        <w:rPr>
          <w:b/>
          <w:i/>
        </w:rPr>
        <w:t>Proposal 1</w:t>
      </w:r>
      <w:r>
        <w:rPr>
          <w:rFonts w:hint="eastAsia" w:eastAsia="宋体"/>
          <w:b/>
          <w:i/>
        </w:rPr>
        <w:t>2</w:t>
      </w:r>
      <w:r>
        <w:rPr>
          <w:b/>
          <w:i/>
        </w:rPr>
        <w:t>:</w:t>
      </w:r>
      <w:r>
        <w:rPr>
          <w:i/>
        </w:rPr>
        <w:t xml:space="preserve"> For multi-DCI based STxMP PUCCH+PUCCH </w:t>
      </w:r>
      <w:r>
        <w:rPr>
          <w:rFonts w:hint="eastAsia" w:eastAsia="宋体"/>
          <w:i/>
        </w:rPr>
        <w:t>transmission</w:t>
      </w:r>
      <w:r>
        <w:rPr>
          <w:i/>
        </w:rPr>
        <w:t>, support of transmitting UCI on different PUCCHs simultaneously instead of multiplexing or dropping, where these PUCCHs should be scheduled by different DCIs and transmitted from different panels.</w:t>
      </w:r>
    </w:p>
    <w:p>
      <w:pPr>
        <w:pStyle w:val="2"/>
        <w:keepNext/>
        <w:tabs>
          <w:tab w:val="left" w:pos="3686"/>
          <w:tab w:val="left" w:pos="4536"/>
        </w:tabs>
        <w:spacing w:before="360" w:beforeLines="100" w:after="180" w:line="240" w:lineRule="auto"/>
        <w:textAlignment w:val="baseline"/>
        <w:rPr>
          <w:rFonts w:eastAsia="Arial Unicode MS"/>
          <w:sz w:val="28"/>
          <w:szCs w:val="28"/>
          <w:lang w:val="en-US"/>
        </w:rPr>
      </w:pPr>
      <w:r>
        <w:rPr>
          <w:rFonts w:eastAsia="Arial Unicode MS"/>
          <w:sz w:val="28"/>
          <w:szCs w:val="28"/>
          <w:lang w:val="en-US"/>
        </w:rPr>
        <w:t>Conclusion</w:t>
      </w:r>
    </w:p>
    <w:p>
      <w:pPr>
        <w:overflowPunct w:val="0"/>
        <w:autoSpaceDE w:val="0"/>
        <w:autoSpaceDN w:val="0"/>
        <w:spacing w:before="108" w:after="108" w:line="300" w:lineRule="auto"/>
        <w:textAlignment w:val="baseline"/>
        <w:rPr>
          <w:rFonts w:eastAsia="宋体"/>
          <w:szCs w:val="20"/>
        </w:rPr>
      </w:pPr>
      <w:r>
        <w:rPr>
          <w:szCs w:val="20"/>
        </w:rPr>
        <w:t xml:space="preserve">In this contribution, we </w:t>
      </w:r>
      <w:r>
        <w:rPr>
          <w:rFonts w:hint="eastAsia" w:eastAsia="宋体"/>
          <w:szCs w:val="20"/>
        </w:rPr>
        <w:t>provide our views on simultaneous UL transmission across multi-panel to MTRP in Rel-18. We have the following observations and proposals:</w:t>
      </w:r>
    </w:p>
    <w:p>
      <w:pPr>
        <w:spacing w:before="288" w:beforeLines="80" w:after="108"/>
        <w:rPr>
          <w:rFonts w:eastAsia="宋体"/>
          <w:i/>
          <w:iCs/>
        </w:rPr>
      </w:pPr>
      <w:r>
        <w:rPr>
          <w:rFonts w:hint="eastAsia" w:eastAsia="宋体"/>
          <w:b/>
          <w:bCs/>
          <w:i/>
          <w:iCs/>
        </w:rPr>
        <w:t>Observation:</w:t>
      </w:r>
      <w:r>
        <w:rPr>
          <w:rFonts w:hint="eastAsia" w:eastAsia="宋体"/>
          <w:i/>
          <w:iCs/>
        </w:rPr>
        <w:t xml:space="preserve"> For SDM scheme based STxMP PUSCH transmission, the system level simulation results of 1 CW v.s. 2 CWs proves that:</w:t>
      </w:r>
    </w:p>
    <w:p>
      <w:pPr>
        <w:numPr>
          <w:ilvl w:val="0"/>
          <w:numId w:val="12"/>
        </w:numPr>
        <w:spacing w:before="108" w:after="108"/>
        <w:rPr>
          <w:rFonts w:eastAsia="宋体"/>
          <w:i/>
          <w:iCs/>
        </w:rPr>
      </w:pPr>
      <w:r>
        <w:rPr>
          <w:rFonts w:hint="eastAsia" w:eastAsia="宋体"/>
          <w:i/>
          <w:iCs/>
        </w:rPr>
        <w:t>In low-load and medium-load scenarios, 2 CWs SDM</w:t>
      </w:r>
      <w:r>
        <w:rPr>
          <w:rFonts w:hint="eastAsia"/>
          <w:i/>
          <w:iCs/>
        </w:rPr>
        <w:t xml:space="preserve"> </w:t>
      </w:r>
      <w:r>
        <w:rPr>
          <w:rFonts w:hint="eastAsia" w:eastAsia="宋体"/>
          <w:i/>
          <w:iCs/>
        </w:rPr>
        <w:t>could always obtain perform gain. In contrast, 1 CW SDM will cause performance loss in some cases, i.e. 5%-ile UEs and 50%-ile UEs.</w:t>
      </w:r>
    </w:p>
    <w:p>
      <w:pPr>
        <w:numPr>
          <w:ilvl w:val="0"/>
          <w:numId w:val="12"/>
        </w:numPr>
        <w:spacing w:before="108" w:after="108"/>
        <w:rPr>
          <w:rFonts w:eastAsia="宋体"/>
          <w:i/>
          <w:iCs/>
        </w:rPr>
      </w:pPr>
      <w:r>
        <w:rPr>
          <w:rFonts w:hint="eastAsia" w:eastAsia="宋体"/>
          <w:i/>
          <w:iCs/>
        </w:rPr>
        <w:t>Even in high-load scenario (RU ~80%), 2 CWs SDM could outperform over single-panel transmission, but 1 CW cannot obtain performance gain anymore.</w:t>
      </w:r>
    </w:p>
    <w:p>
      <w:pPr>
        <w:numPr>
          <w:ilvl w:val="0"/>
          <w:numId w:val="12"/>
        </w:numPr>
        <w:spacing w:before="108" w:after="108"/>
        <w:rPr>
          <w:rFonts w:eastAsia="宋体"/>
          <w:i/>
          <w:iCs/>
        </w:rPr>
      </w:pPr>
      <w:r>
        <w:rPr>
          <w:rFonts w:hint="eastAsia" w:eastAsia="宋体"/>
          <w:i/>
          <w:iCs/>
        </w:rPr>
        <w:t>With the increase of RU, the performance gain of 1 CW SDM</w:t>
      </w:r>
      <w:r>
        <w:rPr>
          <w:rFonts w:hint="eastAsia"/>
          <w:i/>
          <w:iCs/>
        </w:rPr>
        <w:t xml:space="preserve"> </w:t>
      </w:r>
      <w:r>
        <w:rPr>
          <w:rFonts w:hint="eastAsia" w:eastAsia="宋体"/>
          <w:i/>
          <w:iCs/>
        </w:rPr>
        <w:t>will degrade more severe than 2 CWs SDM, and the gap of performance gain between 1 CW SDM</w:t>
      </w:r>
      <w:r>
        <w:rPr>
          <w:rFonts w:hint="eastAsia"/>
          <w:i/>
          <w:iCs/>
        </w:rPr>
        <w:t xml:space="preserve"> </w:t>
      </w:r>
      <w:r>
        <w:rPr>
          <w:rFonts w:hint="eastAsia" w:eastAsia="宋体"/>
          <w:i/>
          <w:iCs/>
        </w:rPr>
        <w:t>and 2 CWs SDM</w:t>
      </w:r>
      <w:r>
        <w:rPr>
          <w:rFonts w:hint="eastAsia"/>
          <w:i/>
          <w:iCs/>
        </w:rPr>
        <w:t xml:space="preserve"> </w:t>
      </w:r>
      <w:r>
        <w:rPr>
          <w:rFonts w:hint="eastAsia" w:eastAsia="宋体"/>
          <w:i/>
          <w:iCs/>
        </w:rPr>
        <w:t>becomes larger.</w:t>
      </w:r>
    </w:p>
    <w:p>
      <w:pPr>
        <w:numPr>
          <w:ilvl w:val="0"/>
          <w:numId w:val="12"/>
        </w:numPr>
        <w:spacing w:before="108" w:after="108"/>
        <w:rPr>
          <w:rFonts w:eastAsia="宋体"/>
        </w:rPr>
      </w:pPr>
      <w:r>
        <w:rPr>
          <w:rFonts w:hint="eastAsia" w:eastAsia="宋体"/>
          <w:i/>
          <w:iCs/>
        </w:rPr>
        <w:t>Most of MP-UEs need to be scheduled with different MCS when</w:t>
      </w:r>
      <w:r>
        <w:rPr>
          <w:rFonts w:eastAsia="宋体"/>
          <w:i/>
          <w:iCs/>
        </w:rPr>
        <w:t xml:space="preserve"> </w:t>
      </w:r>
      <w:r>
        <w:rPr>
          <w:rFonts w:hint="eastAsia" w:eastAsia="宋体"/>
          <w:i/>
          <w:iCs/>
        </w:rPr>
        <w:t>SDM based STxMP PUSCH transmission.</w:t>
      </w:r>
    </w:p>
    <w:p>
      <w:pPr>
        <w:spacing w:before="108" w:after="108"/>
        <w:rPr>
          <w:rFonts w:eastAsia="宋体"/>
          <w:i/>
          <w:iCs/>
        </w:rPr>
      </w:pPr>
      <w:r>
        <w:rPr>
          <w:rFonts w:hint="eastAsia" w:eastAsia="宋体"/>
          <w:b/>
          <w:bCs/>
          <w:i/>
          <w:iCs/>
        </w:rPr>
        <w:t xml:space="preserve">Proposal 1: </w:t>
      </w:r>
      <w:r>
        <w:rPr>
          <w:rFonts w:hint="eastAsia" w:eastAsia="宋体"/>
          <w:i/>
          <w:iCs/>
        </w:rPr>
        <w:t>Support 2 CWs at least for single DCI based STxMP PUSCH SDM scheme when considering the performance gain as well as the practical MTRP deployment complexity mitigation.</w:t>
      </w:r>
    </w:p>
    <w:p>
      <w:pPr>
        <w:spacing w:before="108" w:after="108"/>
        <w:rPr>
          <w:rFonts w:eastAsia="宋体"/>
          <w:i/>
          <w:iCs/>
        </w:rPr>
      </w:pPr>
      <w:r>
        <w:rPr>
          <w:rFonts w:hint="eastAsia" w:eastAsia="宋体"/>
          <w:b/>
          <w:bCs/>
          <w:i/>
          <w:iCs/>
        </w:rPr>
        <w:t>Proposal 2:</w:t>
      </w:r>
      <w:r>
        <w:rPr>
          <w:rFonts w:hint="eastAsia" w:eastAsia="宋体"/>
          <w:i/>
          <w:iCs/>
        </w:rPr>
        <w:t xml:space="preserve"> Support FDM-B scheme for single DCI based STxMP PUSCH transmission when considering the performance gain of transmission reliability</w:t>
      </w:r>
      <w:r>
        <w:rPr>
          <w:rFonts w:hint="eastAsia" w:eastAsia="宋体"/>
          <w:i/>
          <w:iCs/>
          <w:lang w:val="en-US" w:eastAsia="zh-CN"/>
        </w:rPr>
        <w:t xml:space="preserve">, </w:t>
      </w:r>
      <w:r>
        <w:rPr>
          <w:rFonts w:hint="eastAsia" w:eastAsia="宋体"/>
          <w:i/>
          <w:iCs/>
        </w:rPr>
        <w:t>latency reduction</w:t>
      </w:r>
      <w:r>
        <w:rPr>
          <w:rFonts w:hint="eastAsia" w:eastAsia="宋体"/>
          <w:i/>
          <w:iCs/>
          <w:lang w:val="en-US" w:eastAsia="zh-CN"/>
        </w:rPr>
        <w:t>, and</w:t>
      </w:r>
      <w:r>
        <w:rPr>
          <w:rFonts w:hint="eastAsia" w:eastAsia="宋体"/>
          <w:i/>
          <w:iCs/>
        </w:rPr>
        <w:t xml:space="preserve"> the diversity of transmission scheme for MP-UE implementation.</w:t>
      </w:r>
    </w:p>
    <w:p>
      <w:pPr>
        <w:spacing w:before="108" w:after="108"/>
        <w:rPr>
          <w:i/>
          <w:iCs/>
        </w:rPr>
      </w:pPr>
      <w:r>
        <w:rPr>
          <w:rFonts w:hint="eastAsia"/>
          <w:b/>
          <w:bCs/>
          <w:i/>
          <w:iCs/>
        </w:rPr>
        <w:t>Proposal 3:</w:t>
      </w:r>
      <w:r>
        <w:rPr>
          <w:rFonts w:hint="eastAsia"/>
          <w:i/>
          <w:iCs/>
        </w:rPr>
        <w:t xml:space="preserve"> For single DCI based STxMP PUSCH transmission scheme, support to configure two SRS resource sets and utilize two SRI/ TPMI fields in DCI format 0_1/ 0_2 to indicate precoding and rank information.</w:t>
      </w:r>
    </w:p>
    <w:p>
      <w:pPr>
        <w:numPr>
          <w:ilvl w:val="0"/>
          <w:numId w:val="12"/>
        </w:numPr>
        <w:spacing w:before="108" w:after="108"/>
        <w:rPr>
          <w:rFonts w:eastAsia="宋体"/>
          <w:i/>
          <w:iCs/>
        </w:rPr>
      </w:pPr>
      <w:r>
        <w:rPr>
          <w:rFonts w:hint="eastAsia" w:eastAsia="宋体"/>
          <w:i/>
          <w:iCs/>
        </w:rPr>
        <w:t>For CB PUSCH, the first or the second TPMI field indicates TPMI index and rank jointly per panel, which is based on Rel-15/16 framework (Tables 7.3.1.1.2-2/2A/2B/3/3A/4/4A/5/5A in TS 38.212). Where, one reserved/ additional codepoint is used to indicate the TPMI field is unused when single-panel PUSCH transmission.</w:t>
      </w:r>
    </w:p>
    <w:p>
      <w:pPr>
        <w:numPr>
          <w:ilvl w:val="0"/>
          <w:numId w:val="12"/>
        </w:numPr>
        <w:spacing w:before="108" w:after="108"/>
        <w:rPr>
          <w:rFonts w:eastAsia="宋体"/>
          <w:i/>
          <w:iCs/>
        </w:rPr>
      </w:pPr>
      <w:r>
        <w:rPr>
          <w:rFonts w:hint="eastAsia" w:eastAsia="宋体"/>
          <w:i/>
          <w:iCs/>
        </w:rPr>
        <w:t>For NCB PUSCH, the first or the second SRI field indicates SRI per panel, which is based on Rel-15/16 framework (Tables 7.3.1.1.2-28/29/30/31 in TS 38.212). Where, one reserved/ additional codepoint is used to indicate the SRI field is unused when single-panel PUSCH transmission.</w:t>
      </w:r>
    </w:p>
    <w:p>
      <w:pPr>
        <w:numPr>
          <w:ilvl w:val="0"/>
          <w:numId w:val="12"/>
        </w:numPr>
        <w:spacing w:before="108" w:after="108"/>
        <w:rPr>
          <w:rFonts w:eastAsia="宋体"/>
        </w:rPr>
      </w:pPr>
      <w:r>
        <w:rPr>
          <w:rFonts w:hint="eastAsia" w:eastAsia="宋体"/>
          <w:i/>
          <w:iCs/>
        </w:rPr>
        <w:t>The first and second TPMI fields are associated with the first and the second SRS resource sets, respectively.</w:t>
      </w:r>
    </w:p>
    <w:p>
      <w:pPr>
        <w:spacing w:before="108" w:after="180" w:afterLines="50"/>
        <w:rPr>
          <w:rFonts w:eastAsia="宋体"/>
        </w:rPr>
      </w:pPr>
      <w:r>
        <w:rPr>
          <w:rFonts w:eastAsia="宋体"/>
          <w:b/>
          <w:i/>
        </w:rPr>
        <w:t xml:space="preserve">Proposal </w:t>
      </w:r>
      <w:r>
        <w:rPr>
          <w:rFonts w:hint="eastAsia" w:eastAsia="宋体"/>
          <w:b/>
          <w:i/>
        </w:rPr>
        <w:t>4</w:t>
      </w:r>
      <w:r>
        <w:rPr>
          <w:rFonts w:eastAsia="宋体"/>
          <w:b/>
          <w:i/>
        </w:rPr>
        <w:t>:</w:t>
      </w:r>
      <w:r>
        <w:rPr>
          <w:rFonts w:eastAsia="宋体"/>
          <w:i/>
        </w:rPr>
        <w:t xml:space="preserve"> </w:t>
      </w:r>
      <w:r>
        <w:rPr>
          <w:rFonts w:hint="eastAsia" w:eastAsia="宋体"/>
          <w:i/>
        </w:rPr>
        <w:t>Introduce an</w:t>
      </w:r>
      <w:r>
        <w:rPr>
          <w:rFonts w:eastAsia="宋体"/>
          <w:i/>
        </w:rPr>
        <w:t xml:space="preserve"> RRC signaling to </w:t>
      </w:r>
      <w:r>
        <w:rPr>
          <w:rFonts w:hint="eastAsia" w:eastAsia="宋体"/>
          <w:i/>
        </w:rPr>
        <w:t>facilitate the semi-static switching between SDM</w:t>
      </w:r>
      <w:r>
        <w:rPr>
          <w:rFonts w:eastAsia="宋体"/>
          <w:i/>
        </w:rPr>
        <w:t xml:space="preserve"> scheme, </w:t>
      </w:r>
      <w:r>
        <w:rPr>
          <w:rFonts w:hint="eastAsia" w:eastAsia="宋体"/>
          <w:i/>
        </w:rPr>
        <w:t>FDM</w:t>
      </w:r>
      <w:r>
        <w:rPr>
          <w:rFonts w:eastAsia="宋体"/>
          <w:i/>
        </w:rPr>
        <w:t xml:space="preserve"> scheme and </w:t>
      </w:r>
      <w:r>
        <w:rPr>
          <w:rFonts w:hint="eastAsia" w:eastAsia="宋体"/>
          <w:i/>
        </w:rPr>
        <w:t>TDM</w:t>
      </w:r>
      <w:r>
        <w:rPr>
          <w:rFonts w:eastAsia="宋体"/>
          <w:i/>
        </w:rPr>
        <w:t xml:space="preserve"> scheme for</w:t>
      </w:r>
      <w:r>
        <w:rPr>
          <w:rFonts w:hint="eastAsia" w:eastAsia="宋体"/>
          <w:i/>
        </w:rPr>
        <w:t xml:space="preserve"> single DCI based STxMP PUSCH transmission</w:t>
      </w:r>
      <w:r>
        <w:rPr>
          <w:rFonts w:eastAsia="宋体"/>
          <w:i/>
        </w:rPr>
        <w:t>.</w:t>
      </w:r>
    </w:p>
    <w:p>
      <w:pPr>
        <w:spacing w:before="108" w:after="180" w:afterLines="50"/>
        <w:rPr>
          <w:rFonts w:eastAsia="宋体"/>
        </w:rPr>
      </w:pPr>
      <w:r>
        <w:rPr>
          <w:rFonts w:eastAsia="宋体"/>
          <w:b/>
          <w:i/>
          <w:iCs/>
        </w:rPr>
        <w:t xml:space="preserve">Proposal </w:t>
      </w:r>
      <w:r>
        <w:rPr>
          <w:rFonts w:hint="eastAsia" w:eastAsia="宋体"/>
          <w:b/>
          <w:i/>
          <w:iCs/>
        </w:rPr>
        <w:t>5</w:t>
      </w:r>
      <w:r>
        <w:rPr>
          <w:rFonts w:eastAsia="宋体"/>
          <w:b/>
          <w:i/>
          <w:iCs/>
        </w:rPr>
        <w:t>:</w:t>
      </w:r>
      <w:r>
        <w:rPr>
          <w:rFonts w:eastAsia="宋体"/>
          <w:i/>
          <w:iCs/>
        </w:rPr>
        <w:t xml:space="preserve"> </w:t>
      </w:r>
      <w:r>
        <w:rPr>
          <w:rFonts w:hint="eastAsia" w:eastAsia="宋体"/>
          <w:i/>
          <w:iCs/>
        </w:rPr>
        <w:t>One reserved/ additional codepoint in the first or the second TPMI field is used to indicate dynamic switching between single panel PUSCH transmission and STxMP PUSCH transmissions, and the introduced SRS resource set indicator field with 2 bits in Rel-17 is not needed and can be saved.</w:t>
      </w:r>
    </w:p>
    <w:p>
      <w:pPr>
        <w:spacing w:before="108" w:after="108"/>
        <w:rPr>
          <w:rFonts w:eastAsia="宋体"/>
          <w:i/>
          <w:iCs/>
        </w:rPr>
      </w:pPr>
      <w:r>
        <w:rPr>
          <w:rFonts w:hint="eastAsia" w:eastAsia="宋体"/>
          <w:b/>
          <w:bCs/>
          <w:i/>
          <w:iCs/>
        </w:rPr>
        <w:t>Proposal 6:</w:t>
      </w:r>
      <w:r>
        <w:rPr>
          <w:rFonts w:hint="eastAsia" w:eastAsia="宋体"/>
          <w:i/>
          <w:iCs/>
        </w:rPr>
        <w:t xml:space="preserve"> Reuse the current single Antenna ports field in DCI format 0_1/0_2 to indicate up to two CDM groups for PUSCH transmission associated with the first and the second SRS resource sets. </w:t>
      </w:r>
    </w:p>
    <w:p>
      <w:pPr>
        <w:numPr>
          <w:ilvl w:val="0"/>
          <w:numId w:val="12"/>
        </w:numPr>
        <w:spacing w:before="108" w:after="108"/>
        <w:rPr>
          <w:rFonts w:eastAsia="宋体"/>
          <w:i/>
          <w:iCs/>
        </w:rPr>
      </w:pPr>
      <w:r>
        <w:rPr>
          <w:rFonts w:hint="eastAsia" w:eastAsia="宋体"/>
          <w:i/>
          <w:iCs/>
        </w:rPr>
        <w:t xml:space="preserve">The sum of ranks among two panels is used to determine the value of the DMRS port indication table. </w:t>
      </w:r>
    </w:p>
    <w:p>
      <w:pPr>
        <w:numPr>
          <w:ilvl w:val="0"/>
          <w:numId w:val="12"/>
        </w:numPr>
        <w:spacing w:before="108" w:after="108"/>
        <w:rPr>
          <w:rFonts w:eastAsia="宋体"/>
          <w:i/>
          <w:iCs/>
        </w:rPr>
      </w:pPr>
      <w:r>
        <w:rPr>
          <w:rFonts w:hint="eastAsia" w:eastAsia="宋体"/>
          <w:i/>
          <w:iCs/>
        </w:rPr>
        <w:t>DMRS ports among two panels can be allocated in the same or different CDM groups.</w:t>
      </w:r>
    </w:p>
    <w:p>
      <w:pPr>
        <w:numPr>
          <w:ilvl w:val="0"/>
          <w:numId w:val="12"/>
        </w:numPr>
        <w:spacing w:before="108" w:after="108"/>
        <w:rPr>
          <w:rFonts w:eastAsia="宋体"/>
          <w:i/>
          <w:iCs/>
        </w:rPr>
      </w:pPr>
      <w:r>
        <w:rPr>
          <w:rFonts w:hint="eastAsia" w:eastAsia="宋体"/>
          <w:i/>
          <w:iCs/>
        </w:rPr>
        <w:t>Note: DMRS ports partition between two panels can be derived from the rank indication by two TPMI fields for CB PUSCH and two SRI fields for NCB PUSCH.</w:t>
      </w:r>
    </w:p>
    <w:p>
      <w:pPr>
        <w:numPr>
          <w:ilvl w:val="0"/>
          <w:numId w:val="12"/>
        </w:numPr>
        <w:spacing w:before="108" w:after="108"/>
      </w:pPr>
      <w:r>
        <w:rPr>
          <w:rFonts w:hint="eastAsia" w:eastAsia="宋体"/>
          <w:i/>
          <w:iCs/>
        </w:rPr>
        <w:t xml:space="preserve">FFS: Newly added entries in the DMRS port indication table for layer combinations {1+2, 1+3, 3+1} in case of </w:t>
      </w:r>
      <w:r>
        <w:rPr>
          <w:rFonts w:hint="eastAsia" w:eastAsia="宋体"/>
          <w:i/>
          <w:iCs/>
          <w:lang w:val="en-US" w:eastAsia="zh-CN"/>
        </w:rPr>
        <w:t xml:space="preserve">different </w:t>
      </w:r>
      <w:r>
        <w:rPr>
          <w:rFonts w:hint="eastAsia" w:eastAsia="宋体"/>
          <w:i/>
          <w:iCs/>
        </w:rPr>
        <w:t>CDM group</w:t>
      </w:r>
      <w:r>
        <w:rPr>
          <w:rFonts w:hint="eastAsia" w:eastAsia="宋体"/>
          <w:i/>
          <w:iCs/>
          <w:lang w:val="en-US" w:eastAsia="zh-CN"/>
        </w:rPr>
        <w:t>s</w:t>
      </w:r>
      <w:r>
        <w:rPr>
          <w:rFonts w:hint="eastAsia" w:eastAsia="宋体"/>
          <w:i/>
          <w:iCs/>
        </w:rPr>
        <w:t>.</w:t>
      </w:r>
    </w:p>
    <w:p>
      <w:pPr>
        <w:spacing w:before="108" w:after="108"/>
        <w:rPr>
          <w:i/>
          <w:iCs/>
        </w:rPr>
      </w:pPr>
      <w:r>
        <w:rPr>
          <w:rFonts w:hint="eastAsia" w:eastAsia="宋体"/>
          <w:b/>
          <w:bCs/>
          <w:i/>
          <w:iCs/>
        </w:rPr>
        <w:t xml:space="preserve">Proposal 7: </w:t>
      </w:r>
      <w:r>
        <w:rPr>
          <w:rFonts w:hint="eastAsia"/>
          <w:i/>
          <w:iCs/>
        </w:rPr>
        <w:t xml:space="preserve">Support 2 PTRS ports in SDM scheme </w:t>
      </w:r>
      <w:r>
        <w:rPr>
          <w:rFonts w:hint="eastAsia" w:eastAsia="宋体"/>
          <w:i/>
          <w:iCs/>
        </w:rPr>
        <w:t xml:space="preserve">based </w:t>
      </w:r>
      <w:r>
        <w:rPr>
          <w:rFonts w:hint="eastAsia"/>
          <w:i/>
          <w:iCs/>
        </w:rPr>
        <w:t>STxMP PUSCH and enhance the PTRS-DMRS association to associate each PTRS port with one DMRS port associated with each SRS resource set.</w:t>
      </w:r>
    </w:p>
    <w:p>
      <w:pPr>
        <w:numPr>
          <w:ilvl w:val="0"/>
          <w:numId w:val="12"/>
        </w:numPr>
        <w:spacing w:before="108" w:after="108"/>
        <w:rPr>
          <w:rFonts w:eastAsia="宋体"/>
          <w:i/>
          <w:iCs/>
        </w:rPr>
      </w:pPr>
      <w:r>
        <w:rPr>
          <w:rFonts w:hint="eastAsia" w:eastAsia="宋体"/>
          <w:i/>
          <w:iCs/>
        </w:rPr>
        <w:t>For layer combination {1+1}, no indication is needed.</w:t>
      </w:r>
    </w:p>
    <w:p>
      <w:pPr>
        <w:numPr>
          <w:ilvl w:val="0"/>
          <w:numId w:val="12"/>
        </w:numPr>
        <w:spacing w:before="108" w:after="108"/>
        <w:rPr>
          <w:rFonts w:eastAsia="宋体"/>
          <w:i/>
          <w:iCs/>
        </w:rPr>
      </w:pPr>
      <w:r>
        <w:rPr>
          <w:rFonts w:hint="eastAsia" w:eastAsia="宋体"/>
          <w:i/>
          <w:iCs/>
        </w:rPr>
        <w:t>For layer combinations {1+2, 2+1}, Table 7.3.1.1.2-25 or Table 7.3.1.1.2-25A in 38.212 is used for the association in which &gt; 1 DMRS ports.</w:t>
      </w:r>
    </w:p>
    <w:p>
      <w:pPr>
        <w:numPr>
          <w:ilvl w:val="0"/>
          <w:numId w:val="12"/>
        </w:numPr>
        <w:spacing w:before="108" w:after="108"/>
        <w:rPr>
          <w:rFonts w:eastAsia="宋体"/>
          <w:i/>
          <w:iCs/>
        </w:rPr>
      </w:pPr>
      <w:r>
        <w:rPr>
          <w:rFonts w:hint="eastAsia" w:eastAsia="宋体"/>
          <w:i/>
          <w:iCs/>
        </w:rPr>
        <w:t xml:space="preserve"> For layer combinations {1+3, 3+1}, Table 7.3.1.1.2-25 in 38.212 is used for the association in which &gt; 1 DMRS ports.</w:t>
      </w:r>
    </w:p>
    <w:p>
      <w:pPr>
        <w:numPr>
          <w:ilvl w:val="0"/>
          <w:numId w:val="12"/>
        </w:numPr>
        <w:spacing w:before="108" w:after="108"/>
        <w:rPr>
          <w:rFonts w:eastAsia="宋体"/>
          <w:i/>
          <w:iCs/>
        </w:rPr>
      </w:pPr>
      <w:r>
        <w:rPr>
          <w:rFonts w:hint="eastAsia" w:eastAsia="宋体"/>
          <w:i/>
          <w:iCs/>
        </w:rPr>
        <w:t>For layer combinations {2+2}, Table 7.3.1.1.2-25A is used. E.g., the MSB of the PTRS-DMRS association field indicates the DMRS port associated with PTRS port 0 and the LSB of the PTRS-DMRS association field indicates the DMRS port associated with PTRS port 1.</w:t>
      </w:r>
    </w:p>
    <w:p>
      <w:pPr>
        <w:numPr>
          <w:ilvl w:val="0"/>
          <w:numId w:val="12"/>
        </w:numPr>
        <w:spacing w:before="108" w:after="108"/>
      </w:pPr>
      <w:r>
        <w:rPr>
          <w:rFonts w:hint="eastAsia" w:eastAsia="宋体"/>
          <w:i/>
          <w:iCs/>
        </w:rPr>
        <w:t>FFS: Whether/how to support 3 and/or 4 PTRS ports among two panels.</w:t>
      </w:r>
    </w:p>
    <w:p>
      <w:pPr>
        <w:spacing w:before="108" w:after="180" w:afterLines="50"/>
        <w:rPr>
          <w:b/>
          <w:bCs/>
        </w:rPr>
      </w:pPr>
      <w:r>
        <w:rPr>
          <w:rFonts w:hint="eastAsia"/>
          <w:b/>
          <w:bCs/>
          <w:i/>
          <w:iCs/>
        </w:rPr>
        <w:t xml:space="preserve">Proposal </w:t>
      </w:r>
      <w:r>
        <w:rPr>
          <w:rFonts w:hint="eastAsia" w:eastAsia="宋体"/>
          <w:b/>
          <w:bCs/>
          <w:i/>
          <w:iCs/>
        </w:rPr>
        <w:t>8</w:t>
      </w:r>
      <w:r>
        <w:rPr>
          <w:rFonts w:hint="eastAsia"/>
          <w:b/>
          <w:bCs/>
          <w:i/>
          <w:iCs/>
        </w:rPr>
        <w:t xml:space="preserve">: </w:t>
      </w:r>
      <w:r>
        <w:rPr>
          <w:rFonts w:hint="eastAsia"/>
          <w:i/>
          <w:iCs/>
        </w:rPr>
        <w:t>Support of</w:t>
      </w:r>
      <w:r>
        <w:rPr>
          <w:rFonts w:hint="eastAsia" w:ascii="Times" w:hAnsi="Times" w:eastAsia="宋体" w:cs="Times"/>
          <w:i/>
          <w:iCs/>
          <w:szCs w:val="20"/>
        </w:rPr>
        <w:t xml:space="preserve"> </w:t>
      </w:r>
      <w:r>
        <w:rPr>
          <w:rFonts w:hint="eastAsia" w:eastAsia="宋体"/>
          <w:i/>
          <w:iCs/>
        </w:rPr>
        <w:t>multi-</w:t>
      </w:r>
      <w:r>
        <w:rPr>
          <w:rFonts w:hint="eastAsia"/>
          <w:i/>
          <w:iCs/>
        </w:rPr>
        <w:t xml:space="preserve">DCI based </w:t>
      </w:r>
      <w:r>
        <w:rPr>
          <w:rFonts w:ascii="Times" w:hAnsi="Times" w:cs="Times"/>
          <w:i/>
          <w:iCs/>
          <w:szCs w:val="20"/>
        </w:rPr>
        <w:t>STxMP PUSCH+PUSCH transmission</w:t>
      </w:r>
      <w:r>
        <w:rPr>
          <w:rFonts w:hint="eastAsia" w:ascii="Times" w:hAnsi="Times" w:eastAsia="宋体" w:cs="Times"/>
          <w:i/>
          <w:iCs/>
          <w:szCs w:val="20"/>
        </w:rPr>
        <w:t xml:space="preserve"> for throughput improvement, where fully or partially </w:t>
      </w:r>
      <w:r>
        <w:rPr>
          <w:rFonts w:ascii="Times" w:hAnsi="Times" w:cs="Times"/>
          <w:i/>
          <w:iCs/>
          <w:szCs w:val="20"/>
        </w:rPr>
        <w:t>overlapping in time</w:t>
      </w:r>
      <w:r>
        <w:rPr>
          <w:rFonts w:hint="eastAsia" w:ascii="Times" w:hAnsi="Times" w:eastAsia="宋体" w:cs="Times"/>
          <w:i/>
          <w:iCs/>
          <w:szCs w:val="20"/>
        </w:rPr>
        <w:t>/frequency</w:t>
      </w:r>
      <w:r>
        <w:rPr>
          <w:rFonts w:ascii="Times" w:hAnsi="Times" w:cs="Times"/>
          <w:i/>
          <w:iCs/>
          <w:szCs w:val="20"/>
        </w:rPr>
        <w:t xml:space="preserve"> domain</w:t>
      </w:r>
      <w:r>
        <w:rPr>
          <w:rFonts w:hint="eastAsia" w:ascii="Times" w:hAnsi="Times" w:eastAsia="宋体" w:cs="Times"/>
          <w:i/>
          <w:iCs/>
          <w:szCs w:val="20"/>
        </w:rPr>
        <w:t xml:space="preserve"> can be allowable.</w:t>
      </w:r>
      <w:r>
        <w:rPr>
          <w:rFonts w:ascii="Times" w:hAnsi="Times" w:cs="Times"/>
          <w:i/>
          <w:iCs/>
          <w:szCs w:val="20"/>
        </w:rPr>
        <w:t xml:space="preserve"> </w:t>
      </w:r>
    </w:p>
    <w:p>
      <w:pPr>
        <w:spacing w:before="108" w:after="180" w:afterLines="50"/>
        <w:rPr>
          <w:rFonts w:eastAsia="宋体"/>
        </w:rPr>
      </w:pPr>
      <w:r>
        <w:rPr>
          <w:rFonts w:hint="eastAsia" w:eastAsia="宋体"/>
          <w:b/>
          <w:bCs/>
          <w:i/>
          <w:iCs/>
        </w:rPr>
        <w:t>Proposal</w:t>
      </w:r>
      <w:r>
        <w:rPr>
          <w:rFonts w:hint="eastAsia"/>
          <w:b/>
          <w:bCs/>
          <w:i/>
          <w:iCs/>
        </w:rPr>
        <w:t xml:space="preserve"> </w:t>
      </w:r>
      <w:r>
        <w:rPr>
          <w:rFonts w:hint="eastAsia" w:eastAsia="宋体"/>
          <w:b/>
          <w:bCs/>
          <w:i/>
          <w:iCs/>
        </w:rPr>
        <w:t>9</w:t>
      </w:r>
      <w:r>
        <w:rPr>
          <w:rFonts w:hint="eastAsia"/>
          <w:b/>
          <w:bCs/>
          <w:i/>
          <w:iCs/>
        </w:rPr>
        <w:t>:</w:t>
      </w:r>
      <w:r>
        <w:rPr>
          <w:rFonts w:hint="eastAsia"/>
          <w:i/>
          <w:iCs/>
        </w:rPr>
        <w:t xml:space="preserve"> </w:t>
      </w:r>
      <w:r>
        <w:rPr>
          <w:rFonts w:hint="eastAsia" w:eastAsia="宋体"/>
          <w:i/>
          <w:iCs/>
        </w:rPr>
        <w:t>Support of multi-</w:t>
      </w:r>
      <w:r>
        <w:rPr>
          <w:rFonts w:hint="eastAsia"/>
          <w:i/>
          <w:iCs/>
        </w:rPr>
        <w:t xml:space="preserve">DCI based </w:t>
      </w:r>
      <w:r>
        <w:rPr>
          <w:rFonts w:ascii="Times" w:hAnsi="Times" w:cs="Times"/>
          <w:i/>
          <w:iCs/>
          <w:szCs w:val="20"/>
        </w:rPr>
        <w:t xml:space="preserve">STxMP PUSCH+PUSCH </w:t>
      </w:r>
      <w:r>
        <w:rPr>
          <w:rFonts w:hint="eastAsia" w:ascii="Times" w:hAnsi="Times" w:eastAsia="宋体" w:cs="Times"/>
          <w:i/>
          <w:iCs/>
          <w:szCs w:val="20"/>
        </w:rPr>
        <w:t>repetition, which is beneficial to enhance reliability of PUSCH as well as PDCCH.</w:t>
      </w:r>
    </w:p>
    <w:p>
      <w:pPr>
        <w:spacing w:before="108" w:after="108"/>
        <w:rPr>
          <w:i/>
          <w:iCs/>
        </w:rPr>
      </w:pPr>
      <w:r>
        <w:rPr>
          <w:rFonts w:hint="eastAsia"/>
          <w:b/>
          <w:bCs/>
          <w:i/>
          <w:iCs/>
        </w:rPr>
        <w:t xml:space="preserve">Proposal </w:t>
      </w:r>
      <w:r>
        <w:rPr>
          <w:rFonts w:hint="eastAsia" w:eastAsia="宋体"/>
          <w:b/>
          <w:bCs/>
          <w:i/>
          <w:iCs/>
        </w:rPr>
        <w:t>10</w:t>
      </w:r>
      <w:r>
        <w:rPr>
          <w:rFonts w:hint="eastAsia"/>
          <w:b/>
          <w:bCs/>
          <w:i/>
          <w:iCs/>
        </w:rPr>
        <w:t>:</w:t>
      </w:r>
      <w:r>
        <w:rPr>
          <w:rFonts w:hint="eastAsia"/>
          <w:i/>
          <w:iCs/>
        </w:rPr>
        <w:t xml:space="preserve"> For the transmission scheme of single DCI based STxMP PUCCH</w:t>
      </w:r>
      <w:r>
        <w:rPr>
          <w:rFonts w:hint="eastAsia" w:eastAsia="宋体"/>
          <w:i/>
          <w:iCs/>
        </w:rPr>
        <w:t xml:space="preserve"> transmission</w:t>
      </w:r>
      <w:r>
        <w:rPr>
          <w:rFonts w:hint="eastAsia"/>
          <w:i/>
          <w:iCs/>
        </w:rPr>
        <w:t>, it could be designed according to that of single DCI based STxMP PUSCH</w:t>
      </w:r>
      <w:r>
        <w:rPr>
          <w:rFonts w:hint="eastAsia" w:eastAsia="宋体"/>
          <w:i/>
          <w:iCs/>
        </w:rPr>
        <w:t xml:space="preserve"> transmission</w:t>
      </w:r>
      <w:r>
        <w:rPr>
          <w:rFonts w:hint="eastAsia"/>
          <w:i/>
          <w:iCs/>
        </w:rPr>
        <w:t>.</w:t>
      </w:r>
    </w:p>
    <w:p>
      <w:pPr>
        <w:spacing w:before="108" w:after="108"/>
        <w:rPr>
          <w:i/>
          <w:iCs/>
        </w:rPr>
      </w:pPr>
      <w:r>
        <w:rPr>
          <w:rFonts w:hint="eastAsia"/>
          <w:b/>
          <w:bCs/>
          <w:i/>
          <w:iCs/>
        </w:rPr>
        <w:t xml:space="preserve">Proposal </w:t>
      </w:r>
      <w:r>
        <w:rPr>
          <w:b/>
          <w:bCs/>
          <w:i/>
          <w:iCs/>
        </w:rPr>
        <w:t>1</w:t>
      </w:r>
      <w:r>
        <w:rPr>
          <w:rFonts w:hint="eastAsia" w:eastAsia="宋体"/>
          <w:b/>
          <w:bCs/>
          <w:i/>
          <w:iCs/>
        </w:rPr>
        <w:t>1</w:t>
      </w:r>
      <w:r>
        <w:rPr>
          <w:rFonts w:hint="eastAsia"/>
          <w:b/>
          <w:bCs/>
          <w:i/>
          <w:iCs/>
        </w:rPr>
        <w:t>:</w:t>
      </w:r>
      <w:r>
        <w:rPr>
          <w:rFonts w:hint="eastAsia"/>
          <w:i/>
          <w:iCs/>
        </w:rPr>
        <w:t xml:space="preserve">  Support of multi-DCI based STxMP PUCCH+PUCCH in MTRP operation for throughput improvement,</w:t>
      </w:r>
      <w:r>
        <w:rPr>
          <w:rFonts w:hint="eastAsia" w:ascii="Times" w:hAnsi="Times" w:eastAsia="宋体" w:cs="Times"/>
          <w:i/>
          <w:iCs/>
          <w:szCs w:val="20"/>
        </w:rPr>
        <w:t xml:space="preserve"> where fully or partially </w:t>
      </w:r>
      <w:r>
        <w:rPr>
          <w:rFonts w:ascii="Times" w:hAnsi="Times" w:cs="Times"/>
          <w:i/>
          <w:iCs/>
          <w:szCs w:val="20"/>
        </w:rPr>
        <w:t>overlapping in time</w:t>
      </w:r>
      <w:r>
        <w:rPr>
          <w:rFonts w:hint="eastAsia" w:ascii="Times" w:hAnsi="Times" w:eastAsia="宋体" w:cs="Times"/>
          <w:i/>
          <w:iCs/>
          <w:szCs w:val="20"/>
        </w:rPr>
        <w:t>/frequency</w:t>
      </w:r>
      <w:r>
        <w:rPr>
          <w:rFonts w:ascii="Times" w:hAnsi="Times" w:cs="Times"/>
          <w:i/>
          <w:iCs/>
          <w:szCs w:val="20"/>
        </w:rPr>
        <w:t xml:space="preserve"> domain</w:t>
      </w:r>
      <w:r>
        <w:rPr>
          <w:rFonts w:hint="eastAsia" w:ascii="Times" w:hAnsi="Times" w:eastAsia="宋体" w:cs="Times"/>
          <w:i/>
          <w:iCs/>
          <w:szCs w:val="20"/>
        </w:rPr>
        <w:t xml:space="preserve"> can be allowable.</w:t>
      </w:r>
    </w:p>
    <w:p>
      <w:pPr>
        <w:spacing w:before="108" w:after="108"/>
      </w:pPr>
      <w:r>
        <w:rPr>
          <w:b/>
          <w:i/>
        </w:rPr>
        <w:t>Proposal 1</w:t>
      </w:r>
      <w:r>
        <w:rPr>
          <w:rFonts w:hint="eastAsia" w:eastAsia="宋体"/>
          <w:b/>
          <w:i/>
        </w:rPr>
        <w:t>2</w:t>
      </w:r>
      <w:r>
        <w:rPr>
          <w:b/>
          <w:i/>
        </w:rPr>
        <w:t>:</w:t>
      </w:r>
      <w:r>
        <w:rPr>
          <w:i/>
        </w:rPr>
        <w:t xml:space="preserve"> For multi-DCI based STxMP PUCCH+PUCCH </w:t>
      </w:r>
      <w:r>
        <w:rPr>
          <w:rFonts w:hint="eastAsia" w:eastAsia="宋体"/>
          <w:i/>
        </w:rPr>
        <w:t>transmission</w:t>
      </w:r>
      <w:r>
        <w:rPr>
          <w:i/>
        </w:rPr>
        <w:t>, support of transmitting UCI on different PUCCHs simultaneously instead of multiplexing or dropping, where these PUCCHs should be scheduled by different DCIs and transmitted from different panels.</w:t>
      </w:r>
    </w:p>
    <w:p>
      <w:pPr>
        <w:spacing w:before="108" w:after="108"/>
        <w:rPr>
          <w:rFonts w:eastAsia="宋体"/>
          <w:b/>
        </w:rPr>
      </w:pPr>
    </w:p>
    <w:p>
      <w:pPr>
        <w:pStyle w:val="2"/>
        <w:keepNext/>
        <w:tabs>
          <w:tab w:val="left" w:pos="3686"/>
          <w:tab w:val="left" w:pos="4536"/>
        </w:tabs>
        <w:spacing w:before="180" w:after="180" w:line="240" w:lineRule="auto"/>
        <w:textAlignment w:val="baseline"/>
        <w:rPr>
          <w:rFonts w:eastAsia="Arial Unicode MS"/>
          <w:sz w:val="28"/>
          <w:szCs w:val="28"/>
          <w:lang w:val="en-US"/>
        </w:rPr>
      </w:pPr>
      <w:r>
        <w:rPr>
          <w:rFonts w:hint="eastAsia" w:eastAsia="Arial Unicode MS"/>
          <w:sz w:val="28"/>
          <w:szCs w:val="28"/>
          <w:lang w:val="en-US"/>
        </w:rPr>
        <w:t>Appendix</w:t>
      </w:r>
    </w:p>
    <w:p>
      <w:pPr>
        <w:spacing w:before="108" w:after="108"/>
        <w:jc w:val="center"/>
        <w:rPr>
          <w:rFonts w:eastAsia="宋体"/>
          <w:szCs w:val="20"/>
        </w:rPr>
      </w:pPr>
      <w:r>
        <w:rPr>
          <w:rFonts w:eastAsia="宋体"/>
          <w:b/>
          <w:bCs/>
          <w:szCs w:val="20"/>
        </w:rPr>
        <w:t xml:space="preserve">Table </w:t>
      </w:r>
      <w:r>
        <w:rPr>
          <w:rFonts w:hint="eastAsia" w:eastAsia="宋体"/>
          <w:b/>
          <w:bCs/>
          <w:szCs w:val="20"/>
        </w:rPr>
        <w:t>A</w:t>
      </w:r>
      <w:r>
        <w:rPr>
          <w:rFonts w:eastAsia="宋体"/>
          <w:szCs w:val="20"/>
        </w:rPr>
        <w:t xml:space="preserve">  </w:t>
      </w:r>
      <w:r>
        <w:rPr>
          <w:rFonts w:hint="eastAsia" w:eastAsia="宋体"/>
          <w:szCs w:val="20"/>
        </w:rPr>
        <w:t>S</w:t>
      </w:r>
      <w:r>
        <w:rPr>
          <w:rFonts w:eastAsia="宋体"/>
          <w:szCs w:val="20"/>
        </w:rPr>
        <w:t xml:space="preserve">LS assumptions for </w:t>
      </w:r>
      <w:r>
        <w:rPr>
          <w:rFonts w:hint="eastAsia" w:eastAsia="宋体"/>
          <w:szCs w:val="20"/>
        </w:rPr>
        <w:t>1 CW v.s. 2 CWs in SDM</w:t>
      </w:r>
      <w:r>
        <w:rPr>
          <w:rFonts w:eastAsia="宋体"/>
          <w:szCs w:val="20"/>
        </w:rPr>
        <w:t xml:space="preserve"> scheme </w:t>
      </w:r>
      <w:r>
        <w:rPr>
          <w:szCs w:val="20"/>
        </w:rPr>
        <w:t xml:space="preserve">based </w:t>
      </w:r>
      <w:r>
        <w:rPr>
          <w:rFonts w:hint="eastAsia"/>
          <w:szCs w:val="20"/>
        </w:rPr>
        <w:t xml:space="preserve">STxMP </w:t>
      </w:r>
      <w:r>
        <w:rPr>
          <w:szCs w:val="20"/>
        </w:rPr>
        <w:t>PUSCH</w:t>
      </w:r>
      <w:r>
        <w:rPr>
          <w:rFonts w:hint="eastAsia" w:eastAsia="宋体"/>
          <w:szCs w:val="20"/>
        </w:rPr>
        <w:t xml:space="preserve"> transmissions</w:t>
      </w:r>
    </w:p>
    <w:tbl>
      <w:tblPr>
        <w:tblStyle w:val="27"/>
        <w:tblW w:w="9450" w:type="dxa"/>
        <w:jc w:val="center"/>
        <w:tblLayout w:type="autofit"/>
        <w:tblCellMar>
          <w:top w:w="0" w:type="dxa"/>
          <w:left w:w="0" w:type="dxa"/>
          <w:bottom w:w="0" w:type="dxa"/>
          <w:right w:w="0" w:type="dxa"/>
        </w:tblCellMar>
      </w:tblPr>
      <w:tblGrid>
        <w:gridCol w:w="2159"/>
        <w:gridCol w:w="7291"/>
      </w:tblGrid>
      <w:tr>
        <w:tblPrEx>
          <w:tblCellMar>
            <w:top w:w="0" w:type="dxa"/>
            <w:left w:w="0" w:type="dxa"/>
            <w:bottom w:w="0" w:type="dxa"/>
            <w:right w:w="0" w:type="dxa"/>
          </w:tblCellMar>
        </w:tblPrEx>
        <w:trPr>
          <w:jc w:val="center"/>
        </w:trPr>
        <w:tc>
          <w:tcPr>
            <w:tcW w:w="2159" w:type="dxa"/>
            <w:tcBorders>
              <w:top w:val="single" w:color="auto" w:sz="8" w:space="0"/>
              <w:left w:val="single" w:color="auto" w:sz="8" w:space="0"/>
              <w:bottom w:val="single" w:color="auto" w:sz="8" w:space="0"/>
              <w:right w:val="single" w:color="auto" w:sz="8" w:space="0"/>
            </w:tcBorders>
            <w:shd w:val="clear" w:color="auto" w:fill="D5DCE4"/>
            <w:tcMar>
              <w:top w:w="0" w:type="dxa"/>
              <w:left w:w="108" w:type="dxa"/>
              <w:bottom w:w="0" w:type="dxa"/>
              <w:right w:w="108" w:type="dxa"/>
            </w:tcMar>
          </w:tcPr>
          <w:p>
            <w:pPr>
              <w:spacing w:before="108" w:beforeAutospacing="1" w:after="108" w:afterAutospacing="1"/>
              <w:rPr>
                <w:rFonts w:eastAsia="Malgun Gothic"/>
                <w:sz w:val="18"/>
                <w:szCs w:val="18"/>
              </w:rPr>
            </w:pPr>
            <w:r>
              <w:rPr>
                <w:rStyle w:val="30"/>
                <w:rFonts w:eastAsia="MS Mincho"/>
                <w:color w:val="000000"/>
                <w:sz w:val="18"/>
                <w:szCs w:val="18"/>
                <w:lang w:eastAsia="ko-KR"/>
              </w:rPr>
              <w:t>Parameters</w:t>
            </w:r>
          </w:p>
        </w:tc>
        <w:tc>
          <w:tcPr>
            <w:tcW w:w="7291" w:type="dxa"/>
            <w:tcBorders>
              <w:top w:val="single" w:color="auto" w:sz="8" w:space="0"/>
              <w:left w:val="nil"/>
              <w:bottom w:val="single" w:color="auto" w:sz="8" w:space="0"/>
              <w:right w:val="single" w:color="auto" w:sz="8" w:space="0"/>
            </w:tcBorders>
            <w:shd w:val="clear" w:color="auto" w:fill="D5DCE4"/>
            <w:tcMar>
              <w:top w:w="0" w:type="dxa"/>
              <w:left w:w="108" w:type="dxa"/>
              <w:bottom w:w="0" w:type="dxa"/>
              <w:right w:w="108" w:type="dxa"/>
            </w:tcMar>
          </w:tcPr>
          <w:p>
            <w:pPr>
              <w:spacing w:before="108" w:beforeAutospacing="1" w:after="108" w:afterAutospacing="1"/>
              <w:rPr>
                <w:sz w:val="18"/>
                <w:szCs w:val="18"/>
              </w:rPr>
            </w:pPr>
            <w:r>
              <w:rPr>
                <w:rStyle w:val="30"/>
                <w:rFonts w:eastAsia="MS Mincho"/>
                <w:color w:val="000000"/>
                <w:sz w:val="18"/>
                <w:szCs w:val="18"/>
                <w:lang w:eastAsia="ko-KR"/>
              </w:rPr>
              <w:t>Values</w:t>
            </w:r>
          </w:p>
        </w:tc>
      </w:tr>
      <w:tr>
        <w:tblPrEx>
          <w:tblCellMar>
            <w:top w:w="0" w:type="dxa"/>
            <w:left w:w="0" w:type="dxa"/>
            <w:bottom w:w="0" w:type="dxa"/>
            <w:right w:w="0" w:type="dxa"/>
          </w:tblCellMar>
        </w:tblPrEx>
        <w:trPr>
          <w:trHeight w:val="377" w:hRule="atLeast"/>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Frequency Range</w:t>
            </w:r>
          </w:p>
        </w:tc>
        <w:tc>
          <w:tcPr>
            <w:tcW w:w="7291"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 xml:space="preserve">FR2 @ 30 GHz, </w:t>
            </w:r>
            <w:r>
              <w:rPr>
                <w:sz w:val="18"/>
                <w:szCs w:val="18"/>
              </w:rPr>
              <w:t>SCS: 120 kHz, BW: 80 MHz,</w:t>
            </w:r>
          </w:p>
        </w:tc>
      </w:tr>
      <w:tr>
        <w:tblPrEx>
          <w:tblCellMar>
            <w:top w:w="0" w:type="dxa"/>
            <w:left w:w="0" w:type="dxa"/>
            <w:bottom w:w="0" w:type="dxa"/>
            <w:right w:w="0" w:type="dxa"/>
          </w:tblCellMar>
        </w:tblPrEx>
        <w:trPr>
          <w:trHeight w:val="90" w:hRule="atLeast"/>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Scenarios</w:t>
            </w:r>
          </w:p>
        </w:tc>
        <w:tc>
          <w:tcPr>
            <w:tcW w:w="7291"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contextualSpacing/>
              <w:rPr>
                <w:sz w:val="18"/>
                <w:szCs w:val="18"/>
              </w:rPr>
            </w:pPr>
            <w:r>
              <w:rPr>
                <w:rFonts w:eastAsia="宋体"/>
                <w:sz w:val="18"/>
                <w:szCs w:val="18"/>
              </w:rPr>
              <w:t xml:space="preserve">100% </w:t>
            </w:r>
            <w:r>
              <w:rPr>
                <w:sz w:val="18"/>
                <w:szCs w:val="18"/>
              </w:rPr>
              <w:t>Indoor</w:t>
            </w:r>
            <w:r>
              <w:rPr>
                <w:rFonts w:eastAsia="宋体"/>
                <w:sz w:val="18"/>
                <w:szCs w:val="18"/>
              </w:rPr>
              <w:t xml:space="preserve">, </w:t>
            </w:r>
            <w:r>
              <w:rPr>
                <w:sz w:val="18"/>
                <w:szCs w:val="18"/>
              </w:rPr>
              <w:t>TR 38.901</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lang w:eastAsia="ko-KR"/>
              </w:rPr>
            </w:pPr>
            <w:r>
              <w:rPr>
                <w:sz w:val="18"/>
                <w:szCs w:val="18"/>
                <w:lang w:eastAsia="ja-JP"/>
              </w:rPr>
              <w:t>UE distribution</w:t>
            </w:r>
          </w:p>
        </w:tc>
        <w:tc>
          <w:tcPr>
            <w:tcW w:w="7291"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lang w:eastAsia="ja-JP"/>
              </w:rPr>
            </w:pPr>
            <w:r>
              <w:rPr>
                <w:sz w:val="18"/>
                <w:szCs w:val="18"/>
                <w:lang w:eastAsia="ja-JP"/>
              </w:rPr>
              <w:t>100% Indoor, 3km/h,</w:t>
            </w:r>
          </w:p>
          <w:p>
            <w:pPr>
              <w:spacing w:before="108" w:after="108"/>
              <w:rPr>
                <w:sz w:val="18"/>
                <w:szCs w:val="18"/>
              </w:rPr>
            </w:pPr>
            <w:r>
              <w:rPr>
                <w:sz w:val="18"/>
                <w:szCs w:val="18"/>
                <w:lang w:eastAsia="ja-JP"/>
              </w:rPr>
              <w:t xml:space="preserve">10 users per BS </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Maximum UE Tx Power</w:t>
            </w:r>
          </w:p>
        </w:tc>
        <w:tc>
          <w:tcPr>
            <w:tcW w:w="7291"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trike/>
                <w:sz w:val="18"/>
                <w:szCs w:val="18"/>
              </w:rPr>
            </w:pPr>
            <w:r>
              <w:rPr>
                <w:rFonts w:hint="eastAsia" w:eastAsia="宋体"/>
                <w:sz w:val="18"/>
                <w:szCs w:val="18"/>
              </w:rPr>
              <w:t xml:space="preserve">Option 1: </w:t>
            </w:r>
            <w:r>
              <w:rPr>
                <w:sz w:val="18"/>
                <w:szCs w:val="18"/>
              </w:rPr>
              <w:t>Max TRP</w:t>
            </w:r>
            <w:r>
              <w:rPr>
                <w:rStyle w:val="98"/>
                <w:sz w:val="18"/>
                <w:szCs w:val="18"/>
              </w:rPr>
              <w:t> </w:t>
            </w:r>
            <w:r>
              <w:rPr>
                <w:sz w:val="18"/>
                <w:szCs w:val="18"/>
              </w:rPr>
              <w:t>of 23 dBm and max EIRP 43 dBm</w:t>
            </w:r>
            <w:r>
              <w:rPr>
                <w:rStyle w:val="98"/>
                <w:sz w:val="18"/>
                <w:szCs w:val="18"/>
              </w:rPr>
              <w:t> </w:t>
            </w:r>
            <w:r>
              <w:rPr>
                <w:rStyle w:val="30"/>
                <w:b w:val="0"/>
                <w:bCs w:val="0"/>
                <w:sz w:val="18"/>
                <w:szCs w:val="18"/>
              </w:rPr>
              <w:t>of two panels</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BS receiver Noise Figure</w:t>
            </w:r>
          </w:p>
        </w:tc>
        <w:tc>
          <w:tcPr>
            <w:tcW w:w="7291"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7 dB</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BS Antenna Configuration</w:t>
            </w:r>
          </w:p>
        </w:tc>
        <w:tc>
          <w:tcPr>
            <w:tcW w:w="7291"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rPr>
              <w:t>(M, N, P, M</w:t>
            </w:r>
            <w:r>
              <w:rPr>
                <w:sz w:val="18"/>
                <w:szCs w:val="18"/>
                <w:vertAlign w:val="subscript"/>
              </w:rPr>
              <w:t>g</w:t>
            </w:r>
            <w:r>
              <w:rPr>
                <w:sz w:val="18"/>
                <w:szCs w:val="18"/>
              </w:rPr>
              <w:t>, N</w:t>
            </w:r>
            <w:r>
              <w:rPr>
                <w:sz w:val="18"/>
                <w:szCs w:val="18"/>
                <w:vertAlign w:val="subscript"/>
              </w:rPr>
              <w:t>g</w:t>
            </w:r>
            <w:r>
              <w:rPr>
                <w:sz w:val="18"/>
                <w:szCs w:val="18"/>
              </w:rPr>
              <w:t>) = (4, 4, 2, 1, 1). (d</w:t>
            </w:r>
            <w:r>
              <w:rPr>
                <w:sz w:val="18"/>
                <w:szCs w:val="18"/>
                <w:vertAlign w:val="subscript"/>
              </w:rPr>
              <w:t>V</w:t>
            </w:r>
            <w:r>
              <w:rPr>
                <w:sz w:val="18"/>
                <w:szCs w:val="18"/>
              </w:rPr>
              <w:t>, d</w:t>
            </w:r>
            <w:r>
              <w:rPr>
                <w:sz w:val="18"/>
                <w:szCs w:val="18"/>
                <w:vertAlign w:val="subscript"/>
              </w:rPr>
              <w:t>H</w:t>
            </w:r>
            <w:r>
              <w:rPr>
                <w:sz w:val="18"/>
                <w:szCs w:val="18"/>
              </w:rPr>
              <w:t>) = (0.5, 0.5) λ</w:t>
            </w:r>
          </w:p>
          <w:p>
            <w:pPr>
              <w:spacing w:before="108" w:after="108"/>
              <w:rPr>
                <w:sz w:val="18"/>
                <w:szCs w:val="18"/>
                <w:lang w:eastAsia="ko-KR"/>
              </w:rPr>
            </w:pPr>
            <w:r>
              <w:rPr>
                <w:sz w:val="18"/>
                <w:szCs w:val="18"/>
                <w:lang w:eastAsia="ja-JP"/>
              </w:rPr>
              <w:t>Boresight direction is perpendicular to the ceiling</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BS Antenna radiation pattern</w:t>
            </w:r>
          </w:p>
        </w:tc>
        <w:tc>
          <w:tcPr>
            <w:tcW w:w="7291"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TR 38.802 Table A.2.1-7</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before="108" w:after="108"/>
              <w:rPr>
                <w:sz w:val="18"/>
                <w:szCs w:val="18"/>
              </w:rPr>
            </w:pPr>
            <w:r>
              <w:rPr>
                <w:sz w:val="18"/>
                <w:szCs w:val="18"/>
                <w:lang w:eastAsia="ko-KR"/>
              </w:rPr>
              <w:t xml:space="preserve">UE </w:t>
            </w:r>
            <w:r>
              <w:rPr>
                <w:rFonts w:hint="eastAsia" w:eastAsia="宋体"/>
                <w:sz w:val="18"/>
                <w:szCs w:val="18"/>
              </w:rPr>
              <w:t>A</w:t>
            </w:r>
            <w:r>
              <w:rPr>
                <w:sz w:val="18"/>
                <w:szCs w:val="18"/>
                <w:lang w:eastAsia="ko-KR"/>
              </w:rPr>
              <w:t>ntenna configuration</w:t>
            </w:r>
          </w:p>
        </w:tc>
        <w:tc>
          <w:tcPr>
            <w:tcW w:w="7291"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before="108" w:after="108"/>
              <w:rPr>
                <w:sz w:val="18"/>
                <w:szCs w:val="18"/>
                <w:lang w:eastAsia="ko-KR"/>
              </w:rPr>
            </w:pPr>
            <w:r>
              <w:rPr>
                <w:rFonts w:eastAsia="宋体"/>
                <w:sz w:val="18"/>
                <w:szCs w:val="18"/>
              </w:rPr>
              <w:t>(</w:t>
            </w:r>
            <w:r>
              <w:rPr>
                <w:sz w:val="18"/>
                <w:szCs w:val="18"/>
              </w:rPr>
              <w:t xml:space="preserve">M, N, P, Mg, Ng) = (2, 4, 2, 1, 2); </w:t>
            </w:r>
            <w:r>
              <w:rPr>
                <w:rFonts w:eastAsia="Malgun Gothic"/>
                <w:kern w:val="24"/>
                <w:sz w:val="18"/>
                <w:szCs w:val="18"/>
                <w:lang w:val="sv-SE"/>
              </w:rPr>
              <w:t>(d</w:t>
            </w:r>
            <w:r>
              <w:rPr>
                <w:rFonts w:eastAsia="Malgun Gothic"/>
                <w:kern w:val="24"/>
                <w:position w:val="-6"/>
                <w:sz w:val="18"/>
                <w:szCs w:val="18"/>
                <w:vertAlign w:val="subscript"/>
                <w:lang w:val="sv-SE"/>
              </w:rPr>
              <w:t>V</w:t>
            </w:r>
            <w:r>
              <w:rPr>
                <w:rFonts w:eastAsia="Malgun Gothic"/>
                <w:kern w:val="24"/>
                <w:sz w:val="18"/>
                <w:szCs w:val="18"/>
                <w:lang w:val="sv-SE"/>
              </w:rPr>
              <w:t>,d</w:t>
            </w:r>
            <w:r>
              <w:rPr>
                <w:rFonts w:eastAsia="Malgun Gothic"/>
                <w:kern w:val="24"/>
                <w:position w:val="-6"/>
                <w:sz w:val="18"/>
                <w:szCs w:val="18"/>
                <w:vertAlign w:val="subscript"/>
                <w:lang w:val="sv-SE"/>
              </w:rPr>
              <w:t>H</w:t>
            </w:r>
            <w:r>
              <w:rPr>
                <w:rFonts w:eastAsia="Malgun Gothic"/>
                <w:kern w:val="24"/>
                <w:sz w:val="18"/>
                <w:szCs w:val="18"/>
                <w:lang w:val="sv-SE"/>
              </w:rPr>
              <w:t>) = (0.5, 0.5)</w:t>
            </w:r>
            <w:r>
              <w:rPr>
                <w:rFonts w:eastAsia="Malgun Gothic"/>
                <w:kern w:val="24"/>
                <w:sz w:val="18"/>
                <w:szCs w:val="18"/>
              </w:rPr>
              <w:t>λ</w:t>
            </w:r>
            <w:r>
              <w:rPr>
                <w:rFonts w:eastAsia="Malgun Gothic"/>
                <w:kern w:val="24"/>
                <w:sz w:val="18"/>
                <w:szCs w:val="18"/>
                <w:lang w:val="sv-SE"/>
              </w:rPr>
              <w:t>. (d</w:t>
            </w:r>
            <w:r>
              <w:rPr>
                <w:rFonts w:eastAsia="Malgun Gothic"/>
                <w:kern w:val="24"/>
                <w:position w:val="-6"/>
                <w:sz w:val="18"/>
                <w:szCs w:val="18"/>
                <w:vertAlign w:val="subscript"/>
                <w:lang w:val="sv-SE"/>
              </w:rPr>
              <w:t>g,V</w:t>
            </w:r>
            <w:r>
              <w:rPr>
                <w:rFonts w:eastAsia="Malgun Gothic"/>
                <w:kern w:val="24"/>
                <w:sz w:val="18"/>
                <w:szCs w:val="18"/>
                <w:lang w:val="sv-SE"/>
              </w:rPr>
              <w:t>,d</w:t>
            </w:r>
            <w:r>
              <w:rPr>
                <w:rFonts w:eastAsia="Malgun Gothic"/>
                <w:kern w:val="24"/>
                <w:position w:val="-6"/>
                <w:sz w:val="18"/>
                <w:szCs w:val="18"/>
                <w:vertAlign w:val="subscript"/>
                <w:lang w:val="sv-SE"/>
              </w:rPr>
              <w:t>g,H</w:t>
            </w:r>
            <w:r>
              <w:rPr>
                <w:rFonts w:eastAsia="Malgun Gothic"/>
                <w:kern w:val="24"/>
                <w:sz w:val="18"/>
                <w:szCs w:val="18"/>
                <w:lang w:val="sv-SE"/>
              </w:rPr>
              <w:t>) = (0, 0)</w:t>
            </w:r>
            <w:r>
              <w:rPr>
                <w:rFonts w:eastAsia="Malgun Gothic"/>
                <w:kern w:val="24"/>
                <w:sz w:val="18"/>
                <w:szCs w:val="18"/>
              </w:rPr>
              <w:t>λ</w:t>
            </w:r>
            <w:r>
              <w:rPr>
                <w:rFonts w:eastAsia="Malgun Gothic"/>
                <w:kern w:val="24"/>
                <w:sz w:val="18"/>
                <w:szCs w:val="18"/>
                <w:lang w:val="sv-SE"/>
              </w:rPr>
              <w:t>.</w:t>
            </w:r>
            <w:r>
              <w:rPr>
                <w:sz w:val="18"/>
                <w:szCs w:val="18"/>
              </w:rPr>
              <w:t xml:space="preserve"> </w:t>
            </w:r>
            <w:r>
              <w:rPr>
                <w:rFonts w:eastAsia="Malgun Gothic"/>
                <w:kern w:val="24"/>
                <w:sz w:val="18"/>
                <w:szCs w:val="18"/>
              </w:rPr>
              <w:t>Θ</w:t>
            </w:r>
            <w:r>
              <w:rPr>
                <w:rFonts w:eastAsia="Malgun Gothic"/>
                <w:kern w:val="24"/>
                <w:position w:val="-6"/>
                <w:sz w:val="18"/>
                <w:szCs w:val="18"/>
                <w:vertAlign w:val="subscript"/>
              </w:rPr>
              <w:t>mg,ng</w:t>
            </w:r>
            <w:r>
              <w:rPr>
                <w:rFonts w:eastAsia="Malgun Gothic"/>
                <w:kern w:val="24"/>
                <w:sz w:val="18"/>
                <w:szCs w:val="18"/>
              </w:rPr>
              <w:t>=90; Ω</w:t>
            </w:r>
            <w:r>
              <w:rPr>
                <w:rFonts w:eastAsia="Malgun Gothic"/>
                <w:kern w:val="24"/>
                <w:position w:val="-6"/>
                <w:sz w:val="18"/>
                <w:szCs w:val="18"/>
                <w:vertAlign w:val="subscript"/>
              </w:rPr>
              <w:t>0,1</w:t>
            </w:r>
            <w:r>
              <w:rPr>
                <w:rFonts w:eastAsia="Malgun Gothic"/>
                <w:kern w:val="24"/>
                <w:sz w:val="18"/>
                <w:szCs w:val="18"/>
              </w:rPr>
              <w:t>=Ω</w:t>
            </w:r>
            <w:r>
              <w:rPr>
                <w:rFonts w:eastAsia="Malgun Gothic"/>
                <w:kern w:val="24"/>
                <w:position w:val="-6"/>
                <w:sz w:val="18"/>
                <w:szCs w:val="18"/>
                <w:vertAlign w:val="subscript"/>
              </w:rPr>
              <w:t>0,0</w:t>
            </w:r>
            <w:r>
              <w:rPr>
                <w:rFonts w:eastAsia="Malgun Gothic"/>
                <w:kern w:val="24"/>
                <w:sz w:val="18"/>
                <w:szCs w:val="18"/>
              </w:rPr>
              <w:t>+180;</w:t>
            </w:r>
            <w:r>
              <w:rPr>
                <w:kern w:val="24"/>
                <w:sz w:val="18"/>
                <w:szCs w:val="18"/>
                <w:lang w:val="sv-SE"/>
              </w:rPr>
              <w:t xml:space="preserve"> </w:t>
            </w:r>
            <w:r>
              <w:rPr>
                <w:sz w:val="18"/>
                <w:szCs w:val="18"/>
              </w:rPr>
              <w:t>The polarization angles are 0 and 90</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UE Antenna radiation pattern</w:t>
            </w:r>
          </w:p>
        </w:tc>
        <w:tc>
          <w:tcPr>
            <w:tcW w:w="7291"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TR 38.802 Table A.2.1-8</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lang w:eastAsia="ko-KR"/>
              </w:rPr>
            </w:pPr>
            <w:r>
              <w:rPr>
                <w:sz w:val="18"/>
                <w:szCs w:val="18"/>
                <w:lang w:eastAsia="ja-JP"/>
              </w:rPr>
              <w:t>TXRU mapping to antenna elements</w:t>
            </w:r>
          </w:p>
        </w:tc>
        <w:tc>
          <w:tcPr>
            <w:tcW w:w="7291"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lang w:eastAsia="ko-KR"/>
              </w:rPr>
            </w:pPr>
            <w:r>
              <w:rPr>
                <w:sz w:val="18"/>
                <w:szCs w:val="18"/>
              </w:rPr>
              <w:t xml:space="preserve">One </w:t>
            </w:r>
            <w:r>
              <w:rPr>
                <w:sz w:val="18"/>
                <w:szCs w:val="18"/>
                <w:lang w:eastAsia="ja-JP"/>
              </w:rPr>
              <w:t>TXRU per panel per polarization</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lang w:eastAsia="ko-KR"/>
              </w:rPr>
            </w:pPr>
            <w:r>
              <w:rPr>
                <w:sz w:val="18"/>
                <w:szCs w:val="18"/>
                <w:lang w:eastAsia="ja-JP"/>
              </w:rPr>
              <w:t>TXRU mapping weights</w:t>
            </w:r>
          </w:p>
        </w:tc>
        <w:tc>
          <w:tcPr>
            <w:tcW w:w="7291"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lang w:eastAsia="ko-KR"/>
              </w:rPr>
            </w:pPr>
            <w:r>
              <w:rPr>
                <w:sz w:val="18"/>
                <w:szCs w:val="18"/>
                <w:lang w:eastAsia="ja-JP"/>
              </w:rPr>
              <w:t>2D TXRU virtualization weights for each panel is the Kronecker product between vertical and horizontal weight vectors taken from DFT, i.e., 2D sub-array partition model defined in TR36.897.</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before="108" w:after="108"/>
              <w:rPr>
                <w:sz w:val="18"/>
                <w:szCs w:val="18"/>
                <w:lang w:eastAsia="ko-KR"/>
              </w:rPr>
            </w:pPr>
            <w:r>
              <w:rPr>
                <w:sz w:val="18"/>
                <w:szCs w:val="18"/>
                <w:lang w:eastAsia="ja-JP"/>
              </w:rPr>
              <w:t>ISD</w:t>
            </w:r>
          </w:p>
        </w:tc>
        <w:tc>
          <w:tcPr>
            <w:tcW w:w="7291"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before="108" w:after="108"/>
              <w:rPr>
                <w:sz w:val="18"/>
                <w:szCs w:val="18"/>
                <w:lang w:eastAsia="ko-KR"/>
              </w:rPr>
            </w:pPr>
            <w:r>
              <w:rPr>
                <w:sz w:val="18"/>
                <w:szCs w:val="18"/>
              </w:rPr>
              <w:t>20m</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rPr>
              <w:t>UE dropping</w:t>
            </w:r>
          </w:p>
        </w:tc>
        <w:tc>
          <w:tcPr>
            <w:tcW w:w="7291"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rPr>
              <w:t>Random</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rPr>
              <w:t>UE and panel orientation</w:t>
            </w:r>
          </w:p>
        </w:tc>
        <w:tc>
          <w:tcPr>
            <w:tcW w:w="7291"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rPr>
              <w:t>Vertical but random in azimuth</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Traffic Model</w:t>
            </w:r>
          </w:p>
        </w:tc>
        <w:tc>
          <w:tcPr>
            <w:tcW w:w="7291"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rFonts w:eastAsia="宋体"/>
                <w:sz w:val="18"/>
                <w:szCs w:val="18"/>
              </w:rPr>
            </w:pPr>
            <w:r>
              <w:rPr>
                <w:sz w:val="18"/>
                <w:szCs w:val="18"/>
              </w:rPr>
              <w:t>FTP model 1 with packet size 0.5Mbytes</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before="108" w:after="108"/>
              <w:rPr>
                <w:sz w:val="18"/>
                <w:szCs w:val="18"/>
              </w:rPr>
            </w:pPr>
            <w:r>
              <w:rPr>
                <w:sz w:val="18"/>
                <w:szCs w:val="18"/>
                <w:lang w:eastAsia="ko-KR"/>
              </w:rPr>
              <w:t>BF/Precoder scheme</w:t>
            </w:r>
          </w:p>
        </w:tc>
        <w:tc>
          <w:tcPr>
            <w:tcW w:w="7291"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before="108" w:after="108"/>
              <w:rPr>
                <w:sz w:val="18"/>
                <w:szCs w:val="18"/>
              </w:rPr>
            </w:pPr>
            <w:r>
              <w:rPr>
                <w:rFonts w:eastAsia="宋体"/>
                <w:color w:val="000000"/>
                <w:sz w:val="18"/>
                <w:szCs w:val="18"/>
              </w:rPr>
              <w:t>SVD-based</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lang w:eastAsia="ko-KR"/>
              </w:rPr>
            </w:pPr>
            <w:r>
              <w:rPr>
                <w:rFonts w:hint="eastAsia"/>
                <w:sz w:val="18"/>
                <w:szCs w:val="18"/>
                <w:lang w:eastAsia="ja-JP"/>
              </w:rPr>
              <w:t>BS</w:t>
            </w:r>
            <w:r>
              <w:rPr>
                <w:sz w:val="18"/>
                <w:szCs w:val="18"/>
                <w:lang w:eastAsia="ja-JP"/>
              </w:rPr>
              <w:t xml:space="preserve"> </w:t>
            </w:r>
            <w:r>
              <w:rPr>
                <w:rFonts w:hint="eastAsia"/>
                <w:sz w:val="18"/>
                <w:szCs w:val="18"/>
              </w:rPr>
              <w:t>A</w:t>
            </w:r>
            <w:r>
              <w:rPr>
                <w:sz w:val="18"/>
                <w:szCs w:val="18"/>
                <w:lang w:eastAsia="ja-JP"/>
              </w:rPr>
              <w:t>ntenna height</w:t>
            </w:r>
          </w:p>
        </w:tc>
        <w:tc>
          <w:tcPr>
            <w:tcW w:w="7291"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lang w:eastAsia="ko-KR"/>
              </w:rPr>
            </w:pPr>
            <w:r>
              <w:rPr>
                <w:rFonts w:hint="eastAsia"/>
                <w:sz w:val="18"/>
                <w:szCs w:val="18"/>
                <w:lang w:eastAsia="ja-JP"/>
              </w:rPr>
              <w:t>3</w:t>
            </w:r>
            <w:r>
              <w:rPr>
                <w:sz w:val="18"/>
                <w:szCs w:val="18"/>
                <w:lang w:eastAsia="ja-JP"/>
              </w:rPr>
              <w:t>m</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UE Antenna height</w:t>
            </w:r>
          </w:p>
        </w:tc>
        <w:tc>
          <w:tcPr>
            <w:tcW w:w="7291"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1.5 m</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before="108" w:after="108"/>
              <w:rPr>
                <w:sz w:val="18"/>
                <w:szCs w:val="18"/>
              </w:rPr>
            </w:pPr>
            <w:r>
              <w:rPr>
                <w:sz w:val="18"/>
                <w:szCs w:val="18"/>
                <w:lang w:eastAsia="ko-KR"/>
              </w:rPr>
              <w:t>UL MIMO Mode, rank</w:t>
            </w:r>
          </w:p>
        </w:tc>
        <w:tc>
          <w:tcPr>
            <w:tcW w:w="7291"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before="108" w:after="108"/>
              <w:ind w:firstLine="16"/>
              <w:rPr>
                <w:sz w:val="18"/>
                <w:szCs w:val="18"/>
              </w:rPr>
            </w:pPr>
            <w:r>
              <w:rPr>
                <w:color w:val="000000"/>
                <w:sz w:val="18"/>
                <w:szCs w:val="18"/>
              </w:rPr>
              <w:t>SU-MIMO, Rank adaptation</w:t>
            </w:r>
          </w:p>
          <w:p>
            <w:pPr>
              <w:spacing w:before="108" w:after="108"/>
              <w:ind w:firstLine="16"/>
              <w:rPr>
                <w:sz w:val="18"/>
                <w:szCs w:val="18"/>
              </w:rPr>
            </w:pPr>
            <w:r>
              <w:rPr>
                <w:sz w:val="18"/>
                <w:szCs w:val="18"/>
              </w:rPr>
              <w:t>Up to rank 4 for STxMP with 2 panels</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lang w:eastAsia="ja-JP"/>
              </w:rPr>
            </w:pPr>
            <w:r>
              <w:rPr>
                <w:sz w:val="18"/>
                <w:szCs w:val="18"/>
                <w:lang w:eastAsia="ja-JP"/>
              </w:rPr>
              <w:t>UE Tx power</w:t>
            </w:r>
          </w:p>
        </w:tc>
        <w:tc>
          <w:tcPr>
            <w:tcW w:w="7291"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rPr>
              <w:t>23 dBm</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before="108" w:after="108"/>
              <w:rPr>
                <w:bCs/>
                <w:sz w:val="18"/>
                <w:szCs w:val="18"/>
              </w:rPr>
            </w:pPr>
            <w:r>
              <w:rPr>
                <w:bCs/>
                <w:sz w:val="18"/>
                <w:szCs w:val="18"/>
              </w:rPr>
              <w:t>UL power control</w:t>
            </w:r>
          </w:p>
        </w:tc>
        <w:tc>
          <w:tcPr>
            <w:tcW w:w="7291" w:type="dxa"/>
            <w:tcBorders>
              <w:top w:val="nil"/>
              <w:left w:val="nil"/>
              <w:bottom w:val="single" w:color="auto" w:sz="8" w:space="0"/>
              <w:right w:val="single" w:color="auto" w:sz="8" w:space="0"/>
            </w:tcBorders>
            <w:tcMar>
              <w:top w:w="0" w:type="dxa"/>
              <w:left w:w="108" w:type="dxa"/>
              <w:bottom w:w="0" w:type="dxa"/>
              <w:right w:w="108" w:type="dxa"/>
            </w:tcMar>
            <w:vAlign w:val="center"/>
          </w:tcPr>
          <w:p>
            <w:pPr>
              <w:pStyle w:val="123"/>
              <w:spacing w:before="108" w:after="108" w:line="252" w:lineRule="auto"/>
              <w:rPr>
                <w:rFonts w:ascii="Times New Roman" w:hAnsi="Times New Roman" w:cs="Times New Roman"/>
                <w:bCs/>
                <w:color w:val="000000"/>
                <w:lang w:eastAsia="zh-CN"/>
              </w:rPr>
            </w:pPr>
            <w:r>
              <w:rPr>
                <w:rFonts w:ascii="Times New Roman" w:hAnsi="Times New Roman" w:cs="Times New Roman"/>
                <w:bCs/>
                <w:color w:val="000000"/>
                <w:lang w:eastAsia="zh-CN"/>
              </w:rPr>
              <w:t>Panel-specific UL power control</w:t>
            </w:r>
          </w:p>
          <w:p>
            <w:pPr>
              <w:pStyle w:val="123"/>
              <w:spacing w:before="108" w:after="108" w:line="252" w:lineRule="auto"/>
              <w:rPr>
                <w:rFonts w:ascii="Times New Roman" w:hAnsi="Times New Roman" w:cs="Times New Roman"/>
                <w:bCs/>
                <w:color w:val="000000"/>
                <w:lang w:eastAsia="zh-CN"/>
              </w:rPr>
            </w:pPr>
            <w:r>
              <w:rPr>
                <w:rFonts w:ascii="Times New Roman" w:hAnsi="Times New Roman" w:cs="Times New Roman"/>
                <w:bCs/>
                <w:color w:val="000000"/>
                <w:lang w:eastAsia="zh-CN"/>
              </w:rPr>
              <w:t>-P0: -60 dBm</w:t>
            </w:r>
          </w:p>
          <w:p>
            <w:pPr>
              <w:pStyle w:val="123"/>
              <w:spacing w:before="108" w:after="108" w:line="252" w:lineRule="auto"/>
              <w:rPr>
                <w:rFonts w:ascii="Times New Roman" w:hAnsi="Times New Roman" w:cs="Times New Roman"/>
                <w:bCs/>
              </w:rPr>
            </w:pPr>
            <w:r>
              <w:rPr>
                <w:rFonts w:ascii="Times New Roman" w:hAnsi="Times New Roman" w:cs="Times New Roman"/>
                <w:bCs/>
                <w:color w:val="000000"/>
                <w:lang w:eastAsia="zh-CN"/>
              </w:rPr>
              <w:t>-Alpha: 0.8</w:t>
            </w:r>
          </w:p>
        </w:tc>
      </w:tr>
      <w:tr>
        <w:tblPrEx>
          <w:tblCellMar>
            <w:top w:w="0" w:type="dxa"/>
            <w:left w:w="0" w:type="dxa"/>
            <w:bottom w:w="0" w:type="dxa"/>
            <w:right w:w="0" w:type="dxa"/>
          </w:tblCellMar>
        </w:tblPrEx>
        <w:trPr>
          <w:jc w:val="center"/>
        </w:trPr>
        <w:tc>
          <w:tcPr>
            <w:tcW w:w="2159"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spacing w:before="108" w:after="108"/>
              <w:rPr>
                <w:sz w:val="18"/>
                <w:szCs w:val="18"/>
              </w:rPr>
            </w:pPr>
            <w:r>
              <w:rPr>
                <w:sz w:val="18"/>
                <w:szCs w:val="18"/>
                <w:lang w:eastAsia="ko-KR"/>
              </w:rPr>
              <w:t>Baseline scheme</w:t>
            </w:r>
          </w:p>
        </w:tc>
        <w:tc>
          <w:tcPr>
            <w:tcW w:w="7291" w:type="dxa"/>
            <w:tcBorders>
              <w:top w:val="nil"/>
              <w:left w:val="nil"/>
              <w:bottom w:val="single" w:color="auto" w:sz="8" w:space="0"/>
              <w:right w:val="single" w:color="auto" w:sz="8" w:space="0"/>
            </w:tcBorders>
            <w:tcMar>
              <w:top w:w="0" w:type="dxa"/>
              <w:left w:w="108" w:type="dxa"/>
              <w:bottom w:w="0" w:type="dxa"/>
              <w:right w:w="108" w:type="dxa"/>
            </w:tcMar>
            <w:vAlign w:val="center"/>
          </w:tcPr>
          <w:p>
            <w:pPr>
              <w:spacing w:before="108" w:after="108"/>
              <w:rPr>
                <w:rFonts w:eastAsia="宋体"/>
                <w:sz w:val="18"/>
                <w:szCs w:val="18"/>
              </w:rPr>
            </w:pPr>
            <w:r>
              <w:rPr>
                <w:rFonts w:eastAsia="宋体"/>
                <w:sz w:val="18"/>
                <w:szCs w:val="18"/>
              </w:rPr>
              <w:t>S</w:t>
            </w:r>
            <w:r>
              <w:rPr>
                <w:sz w:val="18"/>
                <w:szCs w:val="18"/>
              </w:rPr>
              <w:t>ingle panel transmission with panel selection</w:t>
            </w:r>
          </w:p>
        </w:tc>
      </w:tr>
    </w:tbl>
    <w:p>
      <w:pPr>
        <w:spacing w:before="108" w:after="108"/>
      </w:pPr>
    </w:p>
    <w:p>
      <w:pPr>
        <w:spacing w:before="108" w:after="108"/>
        <w:jc w:val="center"/>
        <w:rPr>
          <w:rFonts w:eastAsia="宋体"/>
          <w:szCs w:val="20"/>
        </w:rPr>
      </w:pPr>
      <w:r>
        <w:rPr>
          <w:rFonts w:eastAsia="宋体"/>
          <w:b/>
          <w:bCs/>
          <w:szCs w:val="20"/>
        </w:rPr>
        <w:t xml:space="preserve">Table </w:t>
      </w:r>
      <w:r>
        <w:rPr>
          <w:rFonts w:hint="eastAsia" w:eastAsia="宋体"/>
          <w:b/>
          <w:bCs/>
          <w:szCs w:val="20"/>
        </w:rPr>
        <w:t>B</w:t>
      </w:r>
      <w:r>
        <w:rPr>
          <w:rFonts w:eastAsia="宋体"/>
          <w:szCs w:val="20"/>
        </w:rPr>
        <w:t xml:space="preserve">  LLS assumptions for TDM/FDM/SFN scheme </w:t>
      </w:r>
      <w:r>
        <w:rPr>
          <w:szCs w:val="20"/>
        </w:rPr>
        <w:t xml:space="preserve">based </w:t>
      </w:r>
      <w:r>
        <w:rPr>
          <w:rFonts w:hint="eastAsia" w:eastAsia="宋体"/>
          <w:szCs w:val="20"/>
        </w:rPr>
        <w:t xml:space="preserve">SDCI STxMP </w:t>
      </w:r>
      <w:r>
        <w:rPr>
          <w:szCs w:val="20"/>
        </w:rPr>
        <w:t>PUSCH repetition</w:t>
      </w:r>
    </w:p>
    <w:tbl>
      <w:tblPr>
        <w:tblStyle w:val="27"/>
        <w:tblW w:w="9450" w:type="dxa"/>
        <w:jc w:val="center"/>
        <w:tblLayout w:type="autofit"/>
        <w:tblCellMar>
          <w:top w:w="0" w:type="dxa"/>
          <w:left w:w="0" w:type="dxa"/>
          <w:bottom w:w="0" w:type="dxa"/>
          <w:right w:w="0" w:type="dxa"/>
        </w:tblCellMar>
      </w:tblPr>
      <w:tblGrid>
        <w:gridCol w:w="2160"/>
        <w:gridCol w:w="7290"/>
      </w:tblGrid>
      <w:tr>
        <w:tblPrEx>
          <w:tblCellMar>
            <w:top w:w="0" w:type="dxa"/>
            <w:left w:w="0" w:type="dxa"/>
            <w:bottom w:w="0" w:type="dxa"/>
            <w:right w:w="0" w:type="dxa"/>
          </w:tblCellMar>
        </w:tblPrEx>
        <w:trPr>
          <w:jc w:val="center"/>
        </w:trPr>
        <w:tc>
          <w:tcPr>
            <w:tcW w:w="2160" w:type="dxa"/>
            <w:tcBorders>
              <w:top w:val="single" w:color="auto" w:sz="8" w:space="0"/>
              <w:left w:val="single" w:color="auto" w:sz="8" w:space="0"/>
              <w:bottom w:val="single" w:color="auto" w:sz="8" w:space="0"/>
              <w:right w:val="single" w:color="auto" w:sz="8" w:space="0"/>
            </w:tcBorders>
            <w:shd w:val="clear" w:color="auto" w:fill="D5DCE4"/>
            <w:tcMar>
              <w:top w:w="0" w:type="dxa"/>
              <w:left w:w="108" w:type="dxa"/>
              <w:bottom w:w="0" w:type="dxa"/>
              <w:right w:w="108" w:type="dxa"/>
            </w:tcMar>
          </w:tcPr>
          <w:p>
            <w:pPr>
              <w:spacing w:before="108" w:beforeAutospacing="1" w:after="108" w:afterAutospacing="1"/>
              <w:rPr>
                <w:rFonts w:ascii="宋体" w:hAnsi="宋体" w:eastAsia="宋体" w:cs="Calibri"/>
                <w:sz w:val="18"/>
                <w:szCs w:val="18"/>
              </w:rPr>
            </w:pPr>
            <w:r>
              <w:rPr>
                <w:rStyle w:val="30"/>
                <w:rFonts w:eastAsia="MS Mincho"/>
                <w:color w:val="000000"/>
                <w:sz w:val="18"/>
                <w:szCs w:val="18"/>
                <w:lang w:eastAsia="ko-KR"/>
              </w:rPr>
              <w:t>Parameters</w:t>
            </w:r>
          </w:p>
        </w:tc>
        <w:tc>
          <w:tcPr>
            <w:tcW w:w="7290" w:type="dxa"/>
            <w:tcBorders>
              <w:top w:val="single" w:color="auto" w:sz="8" w:space="0"/>
              <w:left w:val="nil"/>
              <w:bottom w:val="single" w:color="auto" w:sz="8" w:space="0"/>
              <w:right w:val="single" w:color="auto" w:sz="8" w:space="0"/>
            </w:tcBorders>
            <w:shd w:val="clear" w:color="auto" w:fill="D5DCE4"/>
            <w:tcMar>
              <w:top w:w="0" w:type="dxa"/>
              <w:left w:w="108" w:type="dxa"/>
              <w:bottom w:w="0" w:type="dxa"/>
              <w:right w:w="108" w:type="dxa"/>
            </w:tcMar>
          </w:tcPr>
          <w:p>
            <w:pPr>
              <w:spacing w:before="108" w:beforeAutospacing="1" w:after="108" w:afterAutospacing="1"/>
              <w:rPr>
                <w:rFonts w:ascii="Calibri" w:hAnsi="Calibri" w:eastAsia="Malgun Gothic"/>
                <w:sz w:val="18"/>
                <w:szCs w:val="18"/>
              </w:rPr>
            </w:pPr>
            <w:r>
              <w:rPr>
                <w:rStyle w:val="30"/>
                <w:rFonts w:eastAsia="MS Mincho"/>
                <w:color w:val="000000"/>
                <w:sz w:val="18"/>
                <w:szCs w:val="18"/>
                <w:lang w:eastAsia="ko-KR"/>
              </w:rPr>
              <w:t>Values</w:t>
            </w:r>
          </w:p>
        </w:tc>
      </w:tr>
      <w:tr>
        <w:tblPrEx>
          <w:tblCellMar>
            <w:top w:w="0" w:type="dxa"/>
            <w:left w:w="0" w:type="dxa"/>
            <w:bottom w:w="0" w:type="dxa"/>
            <w:right w:w="0" w:type="dxa"/>
          </w:tblCellMar>
        </w:tblPrEx>
        <w:trPr>
          <w:trHeight w:val="377" w:hRule="atLeast"/>
          <w:jc w:val="center"/>
        </w:trPr>
        <w:tc>
          <w:tcPr>
            <w:tcW w:w="216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Frequency Range</w:t>
            </w:r>
          </w:p>
        </w:tc>
        <w:tc>
          <w:tcPr>
            <w:tcW w:w="7290"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rFonts w:eastAsia="宋体"/>
                <w:sz w:val="18"/>
                <w:szCs w:val="18"/>
              </w:rPr>
            </w:pPr>
            <w:r>
              <w:rPr>
                <w:sz w:val="18"/>
                <w:szCs w:val="18"/>
                <w:lang w:eastAsia="ko-KR"/>
              </w:rPr>
              <w:t xml:space="preserve">FR2 @ 30 GHz, </w:t>
            </w:r>
            <w:r>
              <w:rPr>
                <w:sz w:val="18"/>
                <w:szCs w:val="18"/>
              </w:rPr>
              <w:t>SCS: 120 kHz</w:t>
            </w:r>
          </w:p>
        </w:tc>
      </w:tr>
      <w:tr>
        <w:tblPrEx>
          <w:tblCellMar>
            <w:top w:w="0" w:type="dxa"/>
            <w:left w:w="0" w:type="dxa"/>
            <w:bottom w:w="0" w:type="dxa"/>
            <w:right w:w="0" w:type="dxa"/>
          </w:tblCellMar>
        </w:tblPrEx>
        <w:trPr>
          <w:jc w:val="center"/>
        </w:trPr>
        <w:tc>
          <w:tcPr>
            <w:tcW w:w="216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Channel model</w:t>
            </w:r>
          </w:p>
        </w:tc>
        <w:tc>
          <w:tcPr>
            <w:tcW w:w="7290"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rPr>
              <w:t>CDL</w:t>
            </w:r>
            <w:r>
              <w:rPr>
                <w:rFonts w:hint="eastAsia" w:eastAsia="宋体"/>
                <w:sz w:val="18"/>
                <w:szCs w:val="18"/>
              </w:rPr>
              <w:t>-B</w:t>
            </w:r>
          </w:p>
        </w:tc>
      </w:tr>
      <w:tr>
        <w:tblPrEx>
          <w:tblCellMar>
            <w:top w:w="0" w:type="dxa"/>
            <w:left w:w="0" w:type="dxa"/>
            <w:bottom w:w="0" w:type="dxa"/>
            <w:right w:w="0" w:type="dxa"/>
          </w:tblCellMar>
        </w:tblPrEx>
        <w:trPr>
          <w:trHeight w:val="90" w:hRule="atLeast"/>
          <w:jc w:val="center"/>
        </w:trPr>
        <w:tc>
          <w:tcPr>
            <w:tcW w:w="216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BS antenna configuration</w:t>
            </w:r>
          </w:p>
        </w:tc>
        <w:tc>
          <w:tcPr>
            <w:tcW w:w="7290"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rPr>
              <w:t>2 TRP and 2 Rx ports per TRP</w:t>
            </w:r>
          </w:p>
        </w:tc>
      </w:tr>
      <w:tr>
        <w:tblPrEx>
          <w:tblCellMar>
            <w:top w:w="0" w:type="dxa"/>
            <w:left w:w="0" w:type="dxa"/>
            <w:bottom w:w="0" w:type="dxa"/>
            <w:right w:w="0" w:type="dxa"/>
          </w:tblCellMar>
        </w:tblPrEx>
        <w:trPr>
          <w:jc w:val="center"/>
        </w:trPr>
        <w:tc>
          <w:tcPr>
            <w:tcW w:w="216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UE antenna configuration</w:t>
            </w:r>
          </w:p>
        </w:tc>
        <w:tc>
          <w:tcPr>
            <w:tcW w:w="7290"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rPr>
              <w:t xml:space="preserve">2 panels and 2 </w:t>
            </w:r>
            <w:r>
              <w:rPr>
                <w:rFonts w:hint="eastAsia" w:eastAsia="宋体"/>
                <w:sz w:val="18"/>
                <w:szCs w:val="18"/>
              </w:rPr>
              <w:t xml:space="preserve">full-coherent </w:t>
            </w:r>
            <w:r>
              <w:rPr>
                <w:sz w:val="18"/>
                <w:szCs w:val="18"/>
              </w:rPr>
              <w:t>ports on each panel</w:t>
            </w:r>
          </w:p>
        </w:tc>
      </w:tr>
      <w:tr>
        <w:tblPrEx>
          <w:tblCellMar>
            <w:top w:w="0" w:type="dxa"/>
            <w:left w:w="0" w:type="dxa"/>
            <w:bottom w:w="0" w:type="dxa"/>
            <w:right w:w="0" w:type="dxa"/>
          </w:tblCellMar>
        </w:tblPrEx>
        <w:trPr>
          <w:trHeight w:val="181" w:hRule="atLeast"/>
          <w:jc w:val="center"/>
        </w:trPr>
        <w:tc>
          <w:tcPr>
            <w:tcW w:w="216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autoSpaceDE w:val="0"/>
              <w:autoSpaceDN w:val="0"/>
              <w:spacing w:before="108" w:after="108"/>
              <w:rPr>
                <w:sz w:val="18"/>
                <w:szCs w:val="18"/>
              </w:rPr>
            </w:pPr>
            <w:r>
              <w:rPr>
                <w:sz w:val="18"/>
                <w:szCs w:val="18"/>
                <w:lang w:eastAsia="ko-KR"/>
              </w:rPr>
              <w:t>Path-loss modeling</w:t>
            </w:r>
          </w:p>
        </w:tc>
        <w:tc>
          <w:tcPr>
            <w:tcW w:w="7290" w:type="dxa"/>
            <w:tcBorders>
              <w:top w:val="nil"/>
              <w:left w:val="nil"/>
              <w:bottom w:val="single" w:color="auto" w:sz="8" w:space="0"/>
              <w:right w:val="single" w:color="auto" w:sz="8" w:space="0"/>
            </w:tcBorders>
            <w:tcMar>
              <w:top w:w="0" w:type="dxa"/>
              <w:left w:w="108" w:type="dxa"/>
              <w:bottom w:w="0" w:type="dxa"/>
              <w:right w:w="108" w:type="dxa"/>
            </w:tcMar>
          </w:tcPr>
          <w:p>
            <w:pPr>
              <w:autoSpaceDE w:val="0"/>
              <w:autoSpaceDN w:val="0"/>
              <w:spacing w:before="108" w:after="108"/>
              <w:rPr>
                <w:sz w:val="18"/>
                <w:szCs w:val="18"/>
              </w:rPr>
            </w:pPr>
            <w:r>
              <w:rPr>
                <w:rFonts w:hint="eastAsia" w:eastAsia="宋体"/>
                <w:sz w:val="18"/>
                <w:szCs w:val="18"/>
              </w:rPr>
              <w:t xml:space="preserve">6 </w:t>
            </w:r>
            <w:r>
              <w:rPr>
                <w:sz w:val="18"/>
                <w:szCs w:val="18"/>
                <w:lang w:eastAsia="ko-KR"/>
              </w:rPr>
              <w:t>dB gap between TRPs</w:t>
            </w:r>
          </w:p>
        </w:tc>
      </w:tr>
      <w:tr>
        <w:tblPrEx>
          <w:tblCellMar>
            <w:top w:w="0" w:type="dxa"/>
            <w:left w:w="0" w:type="dxa"/>
            <w:bottom w:w="0" w:type="dxa"/>
            <w:right w:w="0" w:type="dxa"/>
          </w:tblCellMar>
        </w:tblPrEx>
        <w:trPr>
          <w:trHeight w:val="364" w:hRule="atLeast"/>
          <w:jc w:val="center"/>
        </w:trPr>
        <w:tc>
          <w:tcPr>
            <w:tcW w:w="216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autoSpaceDE w:val="0"/>
              <w:autoSpaceDN w:val="0"/>
              <w:spacing w:before="108" w:after="108"/>
              <w:rPr>
                <w:sz w:val="18"/>
                <w:szCs w:val="18"/>
              </w:rPr>
            </w:pPr>
            <w:r>
              <w:rPr>
                <w:sz w:val="18"/>
                <w:szCs w:val="18"/>
                <w:lang w:eastAsia="ko-KR"/>
              </w:rPr>
              <w:t>Blockage</w:t>
            </w:r>
          </w:p>
        </w:tc>
        <w:tc>
          <w:tcPr>
            <w:tcW w:w="7290" w:type="dxa"/>
            <w:tcBorders>
              <w:top w:val="nil"/>
              <w:left w:val="nil"/>
              <w:bottom w:val="single" w:color="auto" w:sz="8" w:space="0"/>
              <w:right w:val="single" w:color="auto" w:sz="8" w:space="0"/>
            </w:tcBorders>
            <w:tcMar>
              <w:top w:w="0" w:type="dxa"/>
              <w:left w:w="108" w:type="dxa"/>
              <w:bottom w:w="0" w:type="dxa"/>
              <w:right w:w="108" w:type="dxa"/>
            </w:tcMar>
          </w:tcPr>
          <w:p>
            <w:pPr>
              <w:autoSpaceDE w:val="0"/>
              <w:autoSpaceDN w:val="0"/>
              <w:spacing w:before="108" w:after="108"/>
              <w:rPr>
                <w:sz w:val="18"/>
                <w:szCs w:val="18"/>
              </w:rPr>
            </w:pPr>
            <w:r>
              <w:rPr>
                <w:rFonts w:hint="eastAsia" w:eastAsia="宋体"/>
                <w:sz w:val="18"/>
                <w:szCs w:val="18"/>
              </w:rPr>
              <w:t>6</w:t>
            </w:r>
            <w:r>
              <w:rPr>
                <w:sz w:val="18"/>
                <w:szCs w:val="18"/>
                <w:lang w:eastAsia="ko-KR"/>
              </w:rPr>
              <w:t xml:space="preserve"> dB power offset with probability </w:t>
            </w:r>
            <w:r>
              <w:rPr>
                <w:rFonts w:hint="eastAsia" w:eastAsia="宋体"/>
                <w:sz w:val="18"/>
                <w:szCs w:val="18"/>
              </w:rPr>
              <w:t>10%</w:t>
            </w:r>
          </w:p>
        </w:tc>
      </w:tr>
      <w:tr>
        <w:tblPrEx>
          <w:tblCellMar>
            <w:top w:w="0" w:type="dxa"/>
            <w:left w:w="0" w:type="dxa"/>
            <w:bottom w:w="0" w:type="dxa"/>
            <w:right w:w="0" w:type="dxa"/>
          </w:tblCellMar>
        </w:tblPrEx>
        <w:trPr>
          <w:trHeight w:val="364" w:hRule="atLeast"/>
          <w:jc w:val="center"/>
        </w:trPr>
        <w:tc>
          <w:tcPr>
            <w:tcW w:w="216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autoSpaceDE w:val="0"/>
              <w:autoSpaceDN w:val="0"/>
              <w:spacing w:before="108" w:after="108"/>
              <w:rPr>
                <w:sz w:val="18"/>
                <w:szCs w:val="18"/>
              </w:rPr>
            </w:pPr>
            <w:r>
              <w:rPr>
                <w:sz w:val="18"/>
                <w:szCs w:val="18"/>
                <w:lang w:eastAsia="ko-KR"/>
              </w:rPr>
              <w:t>Target BLER</w:t>
            </w:r>
          </w:p>
        </w:tc>
        <w:tc>
          <w:tcPr>
            <w:tcW w:w="7290" w:type="dxa"/>
            <w:tcBorders>
              <w:top w:val="nil"/>
              <w:left w:val="nil"/>
              <w:bottom w:val="single" w:color="auto" w:sz="8" w:space="0"/>
              <w:right w:val="single" w:color="auto" w:sz="8" w:space="0"/>
            </w:tcBorders>
            <w:tcMar>
              <w:top w:w="0" w:type="dxa"/>
              <w:left w:w="108" w:type="dxa"/>
              <w:bottom w:w="0" w:type="dxa"/>
              <w:right w:w="108" w:type="dxa"/>
            </w:tcMar>
          </w:tcPr>
          <w:p>
            <w:pPr>
              <w:autoSpaceDE w:val="0"/>
              <w:autoSpaceDN w:val="0"/>
              <w:spacing w:before="108" w:after="108"/>
              <w:rPr>
                <w:sz w:val="18"/>
                <w:szCs w:val="18"/>
              </w:rPr>
            </w:pPr>
            <w:r>
              <w:rPr>
                <w:sz w:val="18"/>
                <w:szCs w:val="18"/>
                <w:lang w:eastAsia="ko-KR"/>
              </w:rPr>
              <w:t>10^-3</w:t>
            </w:r>
          </w:p>
        </w:tc>
      </w:tr>
      <w:tr>
        <w:tblPrEx>
          <w:tblCellMar>
            <w:top w:w="0" w:type="dxa"/>
            <w:left w:w="0" w:type="dxa"/>
            <w:bottom w:w="0" w:type="dxa"/>
            <w:right w:w="0" w:type="dxa"/>
          </w:tblCellMar>
        </w:tblPrEx>
        <w:trPr>
          <w:trHeight w:val="364" w:hRule="atLeast"/>
          <w:jc w:val="center"/>
        </w:trPr>
        <w:tc>
          <w:tcPr>
            <w:tcW w:w="216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autoSpaceDE w:val="0"/>
              <w:autoSpaceDN w:val="0"/>
              <w:spacing w:before="108" w:after="108"/>
              <w:rPr>
                <w:sz w:val="18"/>
                <w:szCs w:val="18"/>
              </w:rPr>
            </w:pPr>
            <w:r>
              <w:rPr>
                <w:sz w:val="18"/>
                <w:szCs w:val="18"/>
                <w:lang w:eastAsia="ko-KR"/>
              </w:rPr>
              <w:t>Baseline scheme</w:t>
            </w:r>
          </w:p>
        </w:tc>
        <w:tc>
          <w:tcPr>
            <w:tcW w:w="7290"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rPr>
              <w:t>Rel-17 mTRP Uplink TDM repetition scheme with single panel per occasion.</w:t>
            </w:r>
          </w:p>
          <w:p>
            <w:pPr>
              <w:spacing w:before="108" w:after="108"/>
              <w:rPr>
                <w:rFonts w:eastAsia="宋体"/>
                <w:sz w:val="18"/>
                <w:szCs w:val="18"/>
              </w:rPr>
            </w:pPr>
            <w:r>
              <w:rPr>
                <w:rFonts w:hint="eastAsia" w:eastAsia="宋体"/>
                <w:sz w:val="18"/>
                <w:szCs w:val="18"/>
              </w:rPr>
              <w:t>Repetition# = 2</w:t>
            </w:r>
          </w:p>
        </w:tc>
      </w:tr>
      <w:tr>
        <w:tblPrEx>
          <w:tblCellMar>
            <w:top w:w="0" w:type="dxa"/>
            <w:left w:w="0" w:type="dxa"/>
            <w:bottom w:w="0" w:type="dxa"/>
            <w:right w:w="0" w:type="dxa"/>
          </w:tblCellMar>
        </w:tblPrEx>
        <w:trPr>
          <w:trHeight w:val="364" w:hRule="atLeast"/>
          <w:jc w:val="center"/>
        </w:trPr>
        <w:tc>
          <w:tcPr>
            <w:tcW w:w="216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autoSpaceDE w:val="0"/>
              <w:autoSpaceDN w:val="0"/>
              <w:spacing w:before="108" w:after="108"/>
              <w:rPr>
                <w:sz w:val="18"/>
                <w:szCs w:val="18"/>
              </w:rPr>
            </w:pPr>
            <w:r>
              <w:rPr>
                <w:sz w:val="18"/>
                <w:szCs w:val="18"/>
                <w:lang w:eastAsia="ko-KR"/>
              </w:rPr>
              <w:t>DMRS pattern</w:t>
            </w:r>
          </w:p>
        </w:tc>
        <w:tc>
          <w:tcPr>
            <w:tcW w:w="7290"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 xml:space="preserve">DM-RS configuration </w:t>
            </w:r>
            <w:r>
              <w:rPr>
                <w:rFonts w:hint="eastAsia" w:eastAsia="宋体"/>
                <w:sz w:val="18"/>
                <w:szCs w:val="18"/>
              </w:rPr>
              <w:t>T</w:t>
            </w:r>
            <w:r>
              <w:rPr>
                <w:sz w:val="18"/>
                <w:szCs w:val="18"/>
                <w:lang w:eastAsia="ko-KR"/>
              </w:rPr>
              <w:t>ype 1 for PUSCH</w:t>
            </w:r>
          </w:p>
        </w:tc>
      </w:tr>
      <w:tr>
        <w:tblPrEx>
          <w:tblCellMar>
            <w:top w:w="0" w:type="dxa"/>
            <w:left w:w="0" w:type="dxa"/>
            <w:bottom w:w="0" w:type="dxa"/>
            <w:right w:w="0" w:type="dxa"/>
          </w:tblCellMar>
        </w:tblPrEx>
        <w:trPr>
          <w:trHeight w:val="364" w:hRule="atLeast"/>
          <w:jc w:val="center"/>
        </w:trPr>
        <w:tc>
          <w:tcPr>
            <w:tcW w:w="216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autoSpaceDE w:val="0"/>
              <w:autoSpaceDN w:val="0"/>
              <w:spacing w:before="108" w:after="108"/>
              <w:rPr>
                <w:rFonts w:ascii="宋体" w:hAnsi="宋体" w:eastAsia="宋体"/>
                <w:sz w:val="18"/>
                <w:szCs w:val="18"/>
              </w:rPr>
            </w:pPr>
            <w:r>
              <w:rPr>
                <w:sz w:val="18"/>
                <w:szCs w:val="18"/>
                <w:lang w:eastAsia="ko-KR"/>
              </w:rPr>
              <w:t>Code rates</w:t>
            </w:r>
          </w:p>
        </w:tc>
        <w:tc>
          <w:tcPr>
            <w:tcW w:w="7290"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rFonts w:ascii="Calibri" w:hAnsi="Calibri" w:eastAsia="Malgun Gothic"/>
                <w:sz w:val="18"/>
                <w:szCs w:val="18"/>
              </w:rPr>
            </w:pPr>
            <w:r>
              <w:rPr>
                <w:rFonts w:hint="eastAsia" w:eastAsia="宋体"/>
                <w:sz w:val="18"/>
                <w:szCs w:val="18"/>
              </w:rPr>
              <w:t>M</w:t>
            </w:r>
            <w:r>
              <w:rPr>
                <w:sz w:val="18"/>
                <w:szCs w:val="18"/>
                <w:lang w:eastAsia="ko-KR"/>
              </w:rPr>
              <w:t>oderate (&lt;0.4)</w:t>
            </w:r>
          </w:p>
        </w:tc>
      </w:tr>
      <w:tr>
        <w:tblPrEx>
          <w:tblCellMar>
            <w:top w:w="0" w:type="dxa"/>
            <w:left w:w="0" w:type="dxa"/>
            <w:bottom w:w="0" w:type="dxa"/>
            <w:right w:w="0" w:type="dxa"/>
          </w:tblCellMar>
        </w:tblPrEx>
        <w:trPr>
          <w:trHeight w:val="364" w:hRule="atLeast"/>
          <w:jc w:val="center"/>
        </w:trPr>
        <w:tc>
          <w:tcPr>
            <w:tcW w:w="216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autoSpaceDE w:val="0"/>
              <w:autoSpaceDN w:val="0"/>
              <w:spacing w:before="108" w:after="108"/>
              <w:rPr>
                <w:sz w:val="18"/>
                <w:szCs w:val="18"/>
              </w:rPr>
            </w:pPr>
            <w:r>
              <w:rPr>
                <w:sz w:val="18"/>
                <w:szCs w:val="18"/>
                <w:lang w:eastAsia="ko-KR"/>
              </w:rPr>
              <w:t>Frequency hopping</w:t>
            </w:r>
          </w:p>
        </w:tc>
        <w:tc>
          <w:tcPr>
            <w:tcW w:w="7290"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rFonts w:eastAsia="宋体"/>
                <w:sz w:val="18"/>
                <w:szCs w:val="18"/>
              </w:rPr>
            </w:pPr>
            <w:r>
              <w:rPr>
                <w:rFonts w:hint="eastAsia" w:eastAsia="宋体"/>
                <w:sz w:val="18"/>
                <w:szCs w:val="18"/>
              </w:rPr>
              <w:t>Disable</w:t>
            </w:r>
          </w:p>
        </w:tc>
      </w:tr>
      <w:tr>
        <w:tblPrEx>
          <w:tblCellMar>
            <w:top w:w="0" w:type="dxa"/>
            <w:left w:w="0" w:type="dxa"/>
            <w:bottom w:w="0" w:type="dxa"/>
            <w:right w:w="0" w:type="dxa"/>
          </w:tblCellMar>
        </w:tblPrEx>
        <w:trPr>
          <w:trHeight w:val="364" w:hRule="atLeast"/>
          <w:jc w:val="center"/>
        </w:trPr>
        <w:tc>
          <w:tcPr>
            <w:tcW w:w="216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autoSpaceDE w:val="0"/>
              <w:autoSpaceDN w:val="0"/>
              <w:spacing w:before="108" w:after="108"/>
              <w:rPr>
                <w:sz w:val="18"/>
                <w:szCs w:val="18"/>
              </w:rPr>
            </w:pPr>
            <w:r>
              <w:rPr>
                <w:sz w:val="18"/>
                <w:szCs w:val="18"/>
                <w:lang w:eastAsia="ko-KR"/>
              </w:rPr>
              <w:t>UL transmission scheme</w:t>
            </w:r>
          </w:p>
        </w:tc>
        <w:tc>
          <w:tcPr>
            <w:tcW w:w="7290"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rFonts w:hint="eastAsia" w:eastAsia="宋体"/>
                <w:sz w:val="18"/>
                <w:szCs w:val="18"/>
              </w:rPr>
              <w:t>CB based PUSCH transmission</w:t>
            </w:r>
          </w:p>
        </w:tc>
      </w:tr>
      <w:tr>
        <w:tblPrEx>
          <w:tblCellMar>
            <w:top w:w="0" w:type="dxa"/>
            <w:left w:w="0" w:type="dxa"/>
            <w:bottom w:w="0" w:type="dxa"/>
            <w:right w:w="0" w:type="dxa"/>
          </w:tblCellMar>
        </w:tblPrEx>
        <w:trPr>
          <w:trHeight w:val="364" w:hRule="atLeast"/>
          <w:jc w:val="center"/>
        </w:trPr>
        <w:tc>
          <w:tcPr>
            <w:tcW w:w="216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autoSpaceDE w:val="0"/>
              <w:autoSpaceDN w:val="0"/>
              <w:spacing w:before="108" w:after="108"/>
              <w:rPr>
                <w:sz w:val="18"/>
                <w:szCs w:val="18"/>
              </w:rPr>
            </w:pPr>
            <w:r>
              <w:rPr>
                <w:sz w:val="18"/>
                <w:szCs w:val="18"/>
                <w:lang w:eastAsia="ko-KR"/>
              </w:rPr>
              <w:t>Redundancy Version</w:t>
            </w:r>
          </w:p>
        </w:tc>
        <w:tc>
          <w:tcPr>
            <w:tcW w:w="7290"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rFonts w:hint="eastAsia" w:eastAsia="宋体"/>
                <w:sz w:val="18"/>
                <w:szCs w:val="18"/>
              </w:rPr>
              <w:t>Enable with RV={0, 2} for two repetitions</w:t>
            </w:r>
          </w:p>
        </w:tc>
      </w:tr>
      <w:tr>
        <w:tblPrEx>
          <w:tblCellMar>
            <w:top w:w="0" w:type="dxa"/>
            <w:left w:w="0" w:type="dxa"/>
            <w:bottom w:w="0" w:type="dxa"/>
            <w:right w:w="0" w:type="dxa"/>
          </w:tblCellMar>
        </w:tblPrEx>
        <w:trPr>
          <w:trHeight w:val="364" w:hRule="atLeast"/>
          <w:jc w:val="center"/>
        </w:trPr>
        <w:tc>
          <w:tcPr>
            <w:tcW w:w="216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autoSpaceDE w:val="0"/>
              <w:autoSpaceDN w:val="0"/>
              <w:spacing w:before="108" w:after="108"/>
              <w:rPr>
                <w:sz w:val="18"/>
                <w:szCs w:val="18"/>
              </w:rPr>
            </w:pPr>
            <w:r>
              <w:rPr>
                <w:sz w:val="18"/>
                <w:szCs w:val="18"/>
                <w:lang w:eastAsia="ko-KR"/>
              </w:rPr>
              <w:t>Schemes</w:t>
            </w:r>
          </w:p>
        </w:tc>
        <w:tc>
          <w:tcPr>
            <w:tcW w:w="7290"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sz w:val="18"/>
                <w:szCs w:val="18"/>
              </w:rPr>
            </w:pPr>
            <w:r>
              <w:rPr>
                <w:sz w:val="18"/>
                <w:szCs w:val="18"/>
                <w:lang w:eastAsia="ko-KR"/>
              </w:rPr>
              <w:t>SDM</w:t>
            </w:r>
            <w:r>
              <w:rPr>
                <w:rFonts w:hint="eastAsia" w:eastAsia="宋体"/>
                <w:sz w:val="18"/>
                <w:szCs w:val="18"/>
              </w:rPr>
              <w:t>-</w:t>
            </w:r>
            <w:r>
              <w:rPr>
                <w:sz w:val="18"/>
                <w:szCs w:val="18"/>
                <w:lang w:eastAsia="ko-KR"/>
              </w:rPr>
              <w:t xml:space="preserve">based </w:t>
            </w:r>
            <w:r>
              <w:rPr>
                <w:rFonts w:hint="eastAsia" w:eastAsia="宋体"/>
                <w:sz w:val="18"/>
                <w:szCs w:val="18"/>
              </w:rPr>
              <w:t xml:space="preserve">repetition, </w:t>
            </w:r>
            <w:r>
              <w:rPr>
                <w:sz w:val="18"/>
                <w:szCs w:val="18"/>
                <w:lang w:eastAsia="ko-KR"/>
              </w:rPr>
              <w:t>FDM-</w:t>
            </w:r>
            <w:r>
              <w:rPr>
                <w:rFonts w:hint="eastAsia" w:eastAsia="宋体"/>
                <w:sz w:val="18"/>
                <w:szCs w:val="18"/>
              </w:rPr>
              <w:t>A repetition</w:t>
            </w:r>
          </w:p>
        </w:tc>
      </w:tr>
      <w:tr>
        <w:tblPrEx>
          <w:tblCellMar>
            <w:top w:w="0" w:type="dxa"/>
            <w:left w:w="0" w:type="dxa"/>
            <w:bottom w:w="0" w:type="dxa"/>
            <w:right w:w="0" w:type="dxa"/>
          </w:tblCellMar>
        </w:tblPrEx>
        <w:trPr>
          <w:trHeight w:val="364" w:hRule="atLeast"/>
          <w:jc w:val="center"/>
        </w:trPr>
        <w:tc>
          <w:tcPr>
            <w:tcW w:w="2160"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autoSpaceDE w:val="0"/>
              <w:autoSpaceDN w:val="0"/>
              <w:spacing w:before="108" w:after="108"/>
              <w:rPr>
                <w:sz w:val="18"/>
                <w:szCs w:val="18"/>
              </w:rPr>
            </w:pPr>
            <w:r>
              <w:rPr>
                <w:sz w:val="18"/>
                <w:szCs w:val="18"/>
                <w:lang w:eastAsia="ko-KR"/>
              </w:rPr>
              <w:t>Cross-link interference between 2 panels</w:t>
            </w:r>
          </w:p>
        </w:tc>
        <w:tc>
          <w:tcPr>
            <w:tcW w:w="7290" w:type="dxa"/>
            <w:tcBorders>
              <w:top w:val="nil"/>
              <w:left w:val="nil"/>
              <w:bottom w:val="single" w:color="auto" w:sz="8" w:space="0"/>
              <w:right w:val="single" w:color="auto" w:sz="8" w:space="0"/>
            </w:tcBorders>
            <w:tcMar>
              <w:top w:w="0" w:type="dxa"/>
              <w:left w:w="108" w:type="dxa"/>
              <w:bottom w:w="0" w:type="dxa"/>
              <w:right w:w="108" w:type="dxa"/>
            </w:tcMar>
          </w:tcPr>
          <w:p>
            <w:pPr>
              <w:spacing w:before="108" w:after="108"/>
              <w:rPr>
                <w:rFonts w:eastAsia="宋体"/>
                <w:sz w:val="18"/>
                <w:szCs w:val="18"/>
              </w:rPr>
            </w:pPr>
            <w:r>
              <w:rPr>
                <w:rFonts w:hint="eastAsia" w:eastAsia="宋体"/>
                <w:sz w:val="18"/>
                <w:szCs w:val="18"/>
              </w:rPr>
              <w:t>Non-interference</w:t>
            </w:r>
          </w:p>
        </w:tc>
      </w:tr>
    </w:tbl>
    <w:p>
      <w:pPr>
        <w:spacing w:before="108" w:after="108"/>
      </w:pPr>
    </w:p>
    <w:p>
      <w:pPr>
        <w:pStyle w:val="2"/>
        <w:keepNext/>
        <w:tabs>
          <w:tab w:val="left" w:pos="3686"/>
          <w:tab w:val="left" w:pos="4536"/>
        </w:tabs>
        <w:spacing w:before="180" w:after="180" w:line="240" w:lineRule="auto"/>
        <w:textAlignment w:val="baseline"/>
        <w:rPr>
          <w:rFonts w:eastAsia="Arial Unicode MS"/>
          <w:sz w:val="28"/>
          <w:szCs w:val="28"/>
          <w:lang w:val="en-US"/>
        </w:rPr>
      </w:pPr>
      <w:r>
        <w:rPr>
          <w:rFonts w:eastAsia="Arial Unicode MS"/>
          <w:sz w:val="28"/>
          <w:szCs w:val="28"/>
          <w:lang w:val="en-US"/>
        </w:rPr>
        <w:t>References</w:t>
      </w:r>
      <w:bookmarkStart w:id="1" w:name="_Ref446507216"/>
      <w:bookmarkEnd w:id="1"/>
      <w:bookmarkStart w:id="2" w:name="_Ref446511358"/>
      <w:bookmarkEnd w:id="2"/>
      <w:bookmarkStart w:id="3" w:name="_Ref446506608"/>
      <w:bookmarkEnd w:id="3"/>
    </w:p>
    <w:p>
      <w:pPr>
        <w:pStyle w:val="119"/>
        <w:spacing w:before="0" w:beforeLines="0" w:after="0" w:afterLines="0"/>
        <w:ind w:left="363" w:hanging="363"/>
        <w:rPr>
          <w:rFonts w:eastAsia="宋体"/>
          <w:szCs w:val="20"/>
        </w:rPr>
      </w:pPr>
      <w:r>
        <w:rPr>
          <w:bCs/>
          <w:szCs w:val="20"/>
        </w:rPr>
        <w:t>RP-213598, New WID: MIMO Evolution for Downlink and Uplink, Samsung (Moderator)</w:t>
      </w:r>
    </w:p>
    <w:p>
      <w:pPr>
        <w:pStyle w:val="119"/>
        <w:spacing w:before="0" w:beforeLines="0" w:after="0" w:afterLines="0"/>
        <w:ind w:left="363" w:hanging="363"/>
        <w:rPr>
          <w:rFonts w:eastAsia="宋体"/>
          <w:szCs w:val="20"/>
        </w:rPr>
      </w:pPr>
      <w:r>
        <w:rPr>
          <w:rFonts w:hint="eastAsia"/>
          <w:szCs w:val="20"/>
        </w:rPr>
        <w:t>Chair's Notes RAN1#10</w:t>
      </w:r>
      <w:r>
        <w:rPr>
          <w:rFonts w:hint="eastAsia" w:eastAsia="宋体"/>
          <w:szCs w:val="20"/>
        </w:rPr>
        <w:t>9</w:t>
      </w:r>
      <w:r>
        <w:rPr>
          <w:rFonts w:hint="eastAsia"/>
          <w:szCs w:val="20"/>
        </w:rPr>
        <w:t>-e v1</w:t>
      </w:r>
      <w:r>
        <w:rPr>
          <w:rFonts w:hint="eastAsia" w:eastAsia="宋体"/>
          <w:szCs w:val="20"/>
        </w:rPr>
        <w:t>9</w:t>
      </w:r>
    </w:p>
    <w:p>
      <w:pPr>
        <w:pStyle w:val="119"/>
        <w:spacing w:before="0" w:beforeLines="0" w:after="0" w:afterLines="0"/>
        <w:ind w:left="363" w:hanging="363"/>
        <w:rPr>
          <w:rFonts w:eastAsia="宋体"/>
          <w:szCs w:val="20"/>
        </w:rPr>
      </w:pPr>
      <w:r>
        <w:rPr>
          <w:rFonts w:hint="eastAsia"/>
          <w:szCs w:val="20"/>
        </w:rPr>
        <w:t>Chair's Notes RAN1#1</w:t>
      </w:r>
      <w:r>
        <w:rPr>
          <w:rFonts w:hint="eastAsia" w:eastAsia="宋体"/>
          <w:szCs w:val="20"/>
        </w:rPr>
        <w:t>10</w:t>
      </w:r>
      <w:r>
        <w:rPr>
          <w:rFonts w:hint="eastAsia"/>
          <w:szCs w:val="20"/>
        </w:rPr>
        <w:t xml:space="preserve"> v</w:t>
      </w:r>
      <w:r>
        <w:rPr>
          <w:rFonts w:hint="eastAsia" w:eastAsia="宋体"/>
          <w:szCs w:val="20"/>
        </w:rPr>
        <w:t>21</w:t>
      </w:r>
    </w:p>
    <w:sectPr>
      <w:headerReference r:id="rId5" w:type="first"/>
      <w:footerReference r:id="rId8" w:type="first"/>
      <w:headerReference r:id="rId3" w:type="default"/>
      <w:footerReference r:id="rId6" w:type="default"/>
      <w:headerReference r:id="rId4" w:type="even"/>
      <w:footerReference r:id="rId7" w:type="even"/>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roman"/>
    <w:pitch w:val="default"/>
    <w:sig w:usb0="00000000" w:usb1="00000000"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30" w:usb3="00000000" w:csb0="4008009F" w:csb1="DFD70000"/>
  </w:font>
  <w:font w:name="MS PGothic">
    <w:panose1 w:val="020B0600070205080204"/>
    <w:charset w:val="80"/>
    <w:family w:val="swiss"/>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roman"/>
    <w:pitch w:val="default"/>
    <w:sig w:usb0="00000000" w:usb1="00000000" w:usb2="00000030" w:usb3="00000000" w:csb0="4008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72"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125C05"/>
    <w:multiLevelType w:val="singleLevel"/>
    <w:tmpl w:val="8F125C05"/>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C47D48AC"/>
    <w:multiLevelType w:val="multilevel"/>
    <w:tmpl w:val="C47D48AC"/>
    <w:lvl w:ilvl="0" w:tentative="0">
      <w:start w:val="1"/>
      <w:numFmt w:val="decimal"/>
      <w:isLgl/>
      <w:lvlText w:val="%1"/>
      <w:lvlJc w:val="left"/>
      <w:pPr>
        <w:tabs>
          <w:tab w:val="left" w:pos="432"/>
        </w:tabs>
        <w:ind w:left="432" w:hanging="432"/>
      </w:pPr>
      <w:rPr>
        <w:rFonts w:hint="default" w:ascii="宋体" w:hAnsi="宋体" w:eastAsia="宋体" w:cs="宋体"/>
        <w:b/>
        <w:i w:val="0"/>
        <w:sz w:val="28"/>
      </w:rPr>
    </w:lvl>
    <w:lvl w:ilvl="1" w:tentative="0">
      <w:start w:val="1"/>
      <w:numFmt w:val="decimal"/>
      <w:lvlText w:val="%1.%2"/>
      <w:lvlJc w:val="left"/>
      <w:pPr>
        <w:tabs>
          <w:tab w:val="left" w:pos="576"/>
        </w:tabs>
        <w:ind w:left="576" w:hanging="576"/>
      </w:pPr>
      <w:rPr>
        <w:rFonts w:hint="default" w:ascii="宋体" w:hAnsi="宋体" w:eastAsia="宋体" w:cs="宋体"/>
        <w:b/>
        <w:i w:val="0"/>
        <w:sz w:val="24"/>
      </w:rPr>
    </w:lvl>
    <w:lvl w:ilvl="2" w:tentative="0">
      <w:start w:val="1"/>
      <w:numFmt w:val="decimal"/>
      <w:pStyle w:val="4"/>
      <w:lvlText w:val="%1.%2.%3"/>
      <w:lvlJc w:val="left"/>
      <w:pPr>
        <w:tabs>
          <w:tab w:val="left" w:pos="720"/>
        </w:tabs>
        <w:ind w:left="720" w:hanging="720"/>
      </w:pPr>
      <w:rPr>
        <w:rFonts w:hint="default" w:ascii="宋体" w:hAnsi="宋体" w:eastAsia="宋体" w:cs="宋体"/>
        <w:b/>
        <w:i w:val="0"/>
        <w:sz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DB64DFFC"/>
    <w:multiLevelType w:val="singleLevel"/>
    <w:tmpl w:val="DB64DFFC"/>
    <w:lvl w:ilvl="0" w:tentative="0">
      <w:start w:val="1"/>
      <w:numFmt w:val="bullet"/>
      <w:lvlText w:val="-"/>
      <w:lvlJc w:val="left"/>
      <w:pPr>
        <w:ind w:left="420" w:hanging="420"/>
      </w:pPr>
      <w:rPr>
        <w:rFonts w:hint="default" w:ascii="微软雅黑" w:hAnsi="微软雅黑" w:eastAsia="微软雅黑" w:cs="微软雅黑"/>
      </w:rPr>
    </w:lvl>
  </w:abstractNum>
  <w:abstractNum w:abstractNumId="3">
    <w:nsid w:val="060D3FFB"/>
    <w:multiLevelType w:val="multilevel"/>
    <w:tmpl w:val="060D3FFB"/>
    <w:lvl w:ilvl="0" w:tentative="0">
      <w:start w:val="1"/>
      <w:numFmt w:val="bullet"/>
      <w:pStyle w:val="8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8D16807"/>
    <w:multiLevelType w:val="multilevel"/>
    <w:tmpl w:val="08D16807"/>
    <w:lvl w:ilvl="0" w:tentative="0">
      <w:start w:val="1"/>
      <w:numFmt w:val="decimal"/>
      <w:lvlText w:val="%1."/>
      <w:lvlJc w:val="left"/>
      <w:pPr>
        <w:ind w:left="840" w:hanging="420"/>
      </w:pPr>
      <w:rPr>
        <w:rFonts w:hint="default"/>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Arial" w:hAnsi="Arial"/>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135B38F3"/>
    <w:multiLevelType w:val="multilevel"/>
    <w:tmpl w:val="135B38F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2621AF83"/>
    <w:multiLevelType w:val="multilevel"/>
    <w:tmpl w:val="2621AF83"/>
    <w:lvl w:ilvl="0" w:tentative="0">
      <w:start w:val="1"/>
      <w:numFmt w:val="decimal"/>
      <w:pStyle w:val="2"/>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pStyle w:val="3"/>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default"/>
        <w:b/>
        <w:i w:val="0"/>
        <w:sz w:val="22"/>
        <w:szCs w:val="21"/>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7">
    <w:nsid w:val="3A877D64"/>
    <w:multiLevelType w:val="singleLevel"/>
    <w:tmpl w:val="3A877D64"/>
    <w:lvl w:ilvl="0" w:tentative="0">
      <w:start w:val="1"/>
      <w:numFmt w:val="decimal"/>
      <w:pStyle w:val="119"/>
      <w:lvlText w:val="[%1]"/>
      <w:lvlJc w:val="left"/>
      <w:pPr>
        <w:tabs>
          <w:tab w:val="left" w:pos="360"/>
        </w:tabs>
        <w:ind w:left="360" w:hanging="360"/>
      </w:pPr>
    </w:lvl>
  </w:abstractNum>
  <w:abstractNum w:abstractNumId="8">
    <w:nsid w:val="3CFB265E"/>
    <w:multiLevelType w:val="multilevel"/>
    <w:tmpl w:val="3CFB265E"/>
    <w:lvl w:ilvl="0" w:tentative="0">
      <w:start w:val="1"/>
      <w:numFmt w:val="decimal"/>
      <w:lvlText w:val="%1."/>
      <w:lvlJc w:val="left"/>
      <w:pPr>
        <w:ind w:left="840" w:hanging="420"/>
      </w:pPr>
      <w:rPr>
        <w:rFonts w:hint="default"/>
      </w:rPr>
    </w:lvl>
    <w:lvl w:ilvl="1" w:tentative="0">
      <w:start w:val="0"/>
      <w:numFmt w:val="bullet"/>
      <w:lvlText w:val="-"/>
      <w:lvlJc w:val="left"/>
      <w:pPr>
        <w:ind w:left="1260" w:hanging="420"/>
      </w:pPr>
      <w:rPr>
        <w:rFonts w:hint="default" w:ascii="Times New Roman" w:hAnsi="Times New Roman" w:eastAsia="Times New Roman"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9">
    <w:nsid w:val="448566E8"/>
    <w:multiLevelType w:val="multilevel"/>
    <w:tmpl w:val="448566E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FDD214C"/>
    <w:multiLevelType w:val="multilevel"/>
    <w:tmpl w:val="4FDD214C"/>
    <w:lvl w:ilvl="0" w:tentative="0">
      <w:start w:val="1"/>
      <w:numFmt w:val="bullet"/>
      <w:lvlText w:val=""/>
      <w:lvlJc w:val="left"/>
      <w:pPr>
        <w:tabs>
          <w:tab w:val="left" w:pos="720"/>
        </w:tabs>
        <w:ind w:left="720" w:hanging="360"/>
      </w:pPr>
      <w:rPr>
        <w:rFonts w:hint="default" w:ascii="Symbol" w:hAnsi="Symbol"/>
        <w:sz w:val="20"/>
      </w:rPr>
    </w:lvl>
    <w:lvl w:ilvl="1" w:tentative="0">
      <w:start w:val="0"/>
      <w:numFmt w:val="bullet"/>
      <w:lvlText w:val="o"/>
      <w:lvlJc w:val="left"/>
      <w:pPr>
        <w:tabs>
          <w:tab w:val="left" w:pos="1440"/>
        </w:tabs>
        <w:ind w:left="1440" w:hanging="360"/>
      </w:pPr>
      <w:rPr>
        <w:rFonts w:hint="default" w:ascii="Courier New" w:hAnsi="Courier New"/>
        <w:sz w:val="20"/>
      </w:rPr>
    </w:lvl>
    <w:lvl w:ilvl="2" w:tentative="0">
      <w:start w:val="0"/>
      <w:numFmt w:val="bullet"/>
      <w:lvlText w:val=""/>
      <w:lvlJc w:val="left"/>
      <w:pPr>
        <w:tabs>
          <w:tab w:val="left" w:pos="2160"/>
        </w:tabs>
        <w:ind w:left="2160" w:hanging="360"/>
      </w:pPr>
      <w:rPr>
        <w:rFonts w:hint="default" w:ascii="Wingdings" w:hAnsi="Wingdings"/>
        <w:sz w:val="20"/>
      </w:rPr>
    </w:lvl>
    <w:lvl w:ilvl="3" w:tentative="0">
      <w:start w:val="0"/>
      <w:numFmt w:val="bullet"/>
      <w:lvlText w:val=""/>
      <w:lvlJc w:val="left"/>
      <w:pPr>
        <w:tabs>
          <w:tab w:val="left" w:pos="2880"/>
        </w:tabs>
        <w:ind w:left="2880" w:hanging="360"/>
      </w:pPr>
      <w:rPr>
        <w:rFonts w:hint="default" w:ascii="Wingdings" w:hAnsi="Wingdings"/>
        <w:sz w:val="20"/>
      </w:rPr>
    </w:lvl>
    <w:lvl w:ilvl="4" w:tentative="0">
      <w:start w:val="0"/>
      <w:numFmt w:val="bullet"/>
      <w:lvlText w:val=""/>
      <w:lvlJc w:val="left"/>
      <w:pPr>
        <w:tabs>
          <w:tab w:val="left" w:pos="3600"/>
        </w:tabs>
        <w:ind w:left="3600" w:hanging="360"/>
      </w:pPr>
      <w:rPr>
        <w:rFonts w:hint="default" w:ascii="Wingdings" w:hAnsi="Wingdings"/>
        <w:sz w:val="20"/>
      </w:rPr>
    </w:lvl>
    <w:lvl w:ilvl="5" w:tentative="0">
      <w:start w:val="0"/>
      <w:numFmt w:val="bullet"/>
      <w:lvlText w:val=""/>
      <w:lvlJc w:val="left"/>
      <w:pPr>
        <w:tabs>
          <w:tab w:val="left" w:pos="4320"/>
        </w:tabs>
        <w:ind w:left="4320" w:hanging="360"/>
      </w:pPr>
      <w:rPr>
        <w:rFonts w:hint="default" w:ascii="Wingdings" w:hAnsi="Wingdings"/>
        <w:sz w:val="20"/>
      </w:rPr>
    </w:lvl>
    <w:lvl w:ilvl="6" w:tentative="0">
      <w:start w:val="0"/>
      <w:numFmt w:val="bullet"/>
      <w:lvlText w:val=""/>
      <w:lvlJc w:val="left"/>
      <w:pPr>
        <w:tabs>
          <w:tab w:val="left" w:pos="5040"/>
        </w:tabs>
        <w:ind w:left="5040" w:hanging="360"/>
      </w:pPr>
      <w:rPr>
        <w:rFonts w:hint="default" w:ascii="Wingdings" w:hAnsi="Wingdings"/>
        <w:sz w:val="20"/>
      </w:rPr>
    </w:lvl>
    <w:lvl w:ilvl="7" w:tentative="0">
      <w:start w:val="0"/>
      <w:numFmt w:val="bullet"/>
      <w:lvlText w:val=""/>
      <w:lvlJc w:val="left"/>
      <w:pPr>
        <w:tabs>
          <w:tab w:val="left" w:pos="5760"/>
        </w:tabs>
        <w:ind w:left="5760" w:hanging="360"/>
      </w:pPr>
      <w:rPr>
        <w:rFonts w:hint="default" w:ascii="Wingdings" w:hAnsi="Wingdings"/>
        <w:sz w:val="20"/>
      </w:rPr>
    </w:lvl>
    <w:lvl w:ilvl="8" w:tentative="0">
      <w:start w:val="0"/>
      <w:numFmt w:val="bullet"/>
      <w:lvlText w:val=""/>
      <w:lvlJc w:val="left"/>
      <w:pPr>
        <w:tabs>
          <w:tab w:val="left" w:pos="6480"/>
        </w:tabs>
        <w:ind w:left="6480" w:hanging="360"/>
      </w:pPr>
      <w:rPr>
        <w:rFonts w:hint="default" w:ascii="Wingdings" w:hAnsi="Wingdings"/>
        <w:sz w:val="20"/>
      </w:rPr>
    </w:lvl>
  </w:abstractNum>
  <w:abstractNum w:abstractNumId="11">
    <w:nsid w:val="5F9BAE73"/>
    <w:multiLevelType w:val="multilevel"/>
    <w:tmpl w:val="5F9BAE73"/>
    <w:lvl w:ilvl="0" w:tentative="0">
      <w:start w:val="6"/>
      <w:numFmt w:val="decimal"/>
      <w:lvlText w:val="%1."/>
      <w:lvlJc w:val="left"/>
      <w:pPr>
        <w:ind w:left="840" w:hanging="420"/>
      </w:pPr>
      <w:rPr>
        <w:rFonts w:hint="default"/>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2">
    <w:nsid w:val="6825279A"/>
    <w:multiLevelType w:val="multilevel"/>
    <w:tmpl w:val="6825279A"/>
    <w:lvl w:ilvl="0" w:tentative="0">
      <w:start w:val="1"/>
      <w:numFmt w:val="decimal"/>
      <w:lvlText w:val="%1."/>
      <w:lvlJc w:val="left"/>
      <w:pPr>
        <w:ind w:left="840" w:hanging="420"/>
      </w:pPr>
      <w:rPr>
        <w:rFonts w:hint="default"/>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Arial" w:hAnsi="Arial"/>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3">
    <w:nsid w:val="6A7B33D3"/>
    <w:multiLevelType w:val="multilevel"/>
    <w:tmpl w:val="6A7B33D3"/>
    <w:lvl w:ilvl="0" w:tentative="0">
      <w:start w:val="1"/>
      <w:numFmt w:val="decimal"/>
      <w:lvlText w:val="%1."/>
      <w:lvlJc w:val="left"/>
      <w:pPr>
        <w:ind w:left="840" w:hanging="420"/>
      </w:pPr>
      <w:rPr>
        <w:rFonts w:hint="default"/>
      </w:rPr>
    </w:lvl>
    <w:lvl w:ilvl="1" w:tentative="0">
      <w:start w:val="0"/>
      <w:numFmt w:val="bullet"/>
      <w:lvlText w:val="-"/>
      <w:lvlJc w:val="left"/>
      <w:pPr>
        <w:ind w:left="1260" w:hanging="420"/>
      </w:pPr>
      <w:rPr>
        <w:rFonts w:hint="default" w:ascii="Times New Roman" w:hAnsi="Times New Roman" w:eastAsia="Times New Roman" w:cs="Times New Roman"/>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4">
    <w:nsid w:val="7A253E72"/>
    <w:multiLevelType w:val="multilevel"/>
    <w:tmpl w:val="7A253E7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FBB7875"/>
    <w:multiLevelType w:val="multilevel"/>
    <w:tmpl w:val="7FBB787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6"/>
  </w:num>
  <w:num w:numId="2">
    <w:abstractNumId w:val="1"/>
  </w:num>
  <w:num w:numId="3">
    <w:abstractNumId w:val="3"/>
  </w:num>
  <w:num w:numId="4">
    <w:abstractNumId w:val="7"/>
  </w:num>
  <w:num w:numId="5">
    <w:abstractNumId w:val="11"/>
  </w:num>
  <w:num w:numId="6">
    <w:abstractNumId w:val="13"/>
  </w:num>
  <w:num w:numId="7">
    <w:abstractNumId w:val="4"/>
  </w:num>
  <w:num w:numId="8">
    <w:abstractNumId w:val="8"/>
  </w:num>
  <w:num w:numId="9">
    <w:abstractNumId w:val="12"/>
  </w:num>
  <w:num w:numId="10">
    <w:abstractNumId w:val="5"/>
  </w:num>
  <w:num w:numId="11">
    <w:abstractNumId w:val="15"/>
  </w:num>
  <w:num w:numId="12">
    <w:abstractNumId w:val="2"/>
  </w:num>
  <w:num w:numId="13">
    <w:abstractNumId w:val="10"/>
  </w:num>
  <w:num w:numId="14">
    <w:abstractNumId w:val="14"/>
  </w:num>
  <w:num w:numId="15">
    <w:abstractNumId w:val="9"/>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ocumentProtection w:enforcement="0"/>
  <w:defaultTabStop w:val="420"/>
  <w:drawingGridHorizontalSpacing w:val="110"/>
  <w:noPunctuationKerning w:val="1"/>
  <w:characterSpacingControl w:val="doNotCompress"/>
  <w:compat>
    <w:spaceForUL/>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751"/>
    <w:rsid w:val="00005AF1"/>
    <w:rsid w:val="00005C22"/>
    <w:rsid w:val="00005F8F"/>
    <w:rsid w:val="00006227"/>
    <w:rsid w:val="000062AC"/>
    <w:rsid w:val="000066E7"/>
    <w:rsid w:val="00006A0E"/>
    <w:rsid w:val="00006B81"/>
    <w:rsid w:val="00006BE2"/>
    <w:rsid w:val="00006EAC"/>
    <w:rsid w:val="0000705B"/>
    <w:rsid w:val="00007304"/>
    <w:rsid w:val="00007440"/>
    <w:rsid w:val="00007579"/>
    <w:rsid w:val="00007B7E"/>
    <w:rsid w:val="00010475"/>
    <w:rsid w:val="000104F7"/>
    <w:rsid w:val="000105FC"/>
    <w:rsid w:val="0001060D"/>
    <w:rsid w:val="00010818"/>
    <w:rsid w:val="00010B8B"/>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CCC"/>
    <w:rsid w:val="00013CE8"/>
    <w:rsid w:val="00013EF4"/>
    <w:rsid w:val="00013F3D"/>
    <w:rsid w:val="000143CA"/>
    <w:rsid w:val="00014536"/>
    <w:rsid w:val="00014604"/>
    <w:rsid w:val="00014F4A"/>
    <w:rsid w:val="00015601"/>
    <w:rsid w:val="00015A36"/>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2C97"/>
    <w:rsid w:val="000331E5"/>
    <w:rsid w:val="000332EA"/>
    <w:rsid w:val="00033454"/>
    <w:rsid w:val="000335D4"/>
    <w:rsid w:val="00033649"/>
    <w:rsid w:val="00033E24"/>
    <w:rsid w:val="00033EF4"/>
    <w:rsid w:val="00034192"/>
    <w:rsid w:val="000342F2"/>
    <w:rsid w:val="000343FC"/>
    <w:rsid w:val="000350D0"/>
    <w:rsid w:val="000350D9"/>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51"/>
    <w:rsid w:val="00047363"/>
    <w:rsid w:val="00047533"/>
    <w:rsid w:val="00047854"/>
    <w:rsid w:val="00047BA6"/>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8BF"/>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F33"/>
    <w:rsid w:val="0005716B"/>
    <w:rsid w:val="00057620"/>
    <w:rsid w:val="00057678"/>
    <w:rsid w:val="00057AC7"/>
    <w:rsid w:val="00057DA2"/>
    <w:rsid w:val="000600F5"/>
    <w:rsid w:val="00060217"/>
    <w:rsid w:val="000602D2"/>
    <w:rsid w:val="000605D2"/>
    <w:rsid w:val="0006068C"/>
    <w:rsid w:val="00060696"/>
    <w:rsid w:val="000606EB"/>
    <w:rsid w:val="000608F1"/>
    <w:rsid w:val="00060D2E"/>
    <w:rsid w:val="00061110"/>
    <w:rsid w:val="00061173"/>
    <w:rsid w:val="0006125B"/>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867"/>
    <w:rsid w:val="000818BD"/>
    <w:rsid w:val="00081D05"/>
    <w:rsid w:val="00081F52"/>
    <w:rsid w:val="00082072"/>
    <w:rsid w:val="00082B44"/>
    <w:rsid w:val="00082C05"/>
    <w:rsid w:val="00082D7F"/>
    <w:rsid w:val="00082E4E"/>
    <w:rsid w:val="00082F8E"/>
    <w:rsid w:val="00083074"/>
    <w:rsid w:val="000830B1"/>
    <w:rsid w:val="0008320F"/>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73"/>
    <w:rsid w:val="00090408"/>
    <w:rsid w:val="000907F4"/>
    <w:rsid w:val="0009098A"/>
    <w:rsid w:val="00090A6A"/>
    <w:rsid w:val="00090CCA"/>
    <w:rsid w:val="00090E68"/>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F0"/>
    <w:rsid w:val="00094F66"/>
    <w:rsid w:val="0009534B"/>
    <w:rsid w:val="000959B6"/>
    <w:rsid w:val="000961C8"/>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08"/>
    <w:rsid w:val="000A1619"/>
    <w:rsid w:val="000A17FC"/>
    <w:rsid w:val="000A18AD"/>
    <w:rsid w:val="000A1D48"/>
    <w:rsid w:val="000A23D8"/>
    <w:rsid w:val="000A2499"/>
    <w:rsid w:val="000A24F6"/>
    <w:rsid w:val="000A2C04"/>
    <w:rsid w:val="000A3204"/>
    <w:rsid w:val="000A3270"/>
    <w:rsid w:val="000A32A0"/>
    <w:rsid w:val="000A3E6F"/>
    <w:rsid w:val="000A4165"/>
    <w:rsid w:val="000A4466"/>
    <w:rsid w:val="000A448B"/>
    <w:rsid w:val="000A454C"/>
    <w:rsid w:val="000A4AD9"/>
    <w:rsid w:val="000A4F00"/>
    <w:rsid w:val="000A4F0B"/>
    <w:rsid w:val="000A4FE3"/>
    <w:rsid w:val="000A5024"/>
    <w:rsid w:val="000A51CE"/>
    <w:rsid w:val="000A5285"/>
    <w:rsid w:val="000A52CA"/>
    <w:rsid w:val="000A57F3"/>
    <w:rsid w:val="000A59FD"/>
    <w:rsid w:val="000A6303"/>
    <w:rsid w:val="000A6A7A"/>
    <w:rsid w:val="000A6BBF"/>
    <w:rsid w:val="000A6F18"/>
    <w:rsid w:val="000A719F"/>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BA6"/>
    <w:rsid w:val="000B5C0E"/>
    <w:rsid w:val="000B5E1C"/>
    <w:rsid w:val="000B611B"/>
    <w:rsid w:val="000B6191"/>
    <w:rsid w:val="000B6875"/>
    <w:rsid w:val="000B6AA3"/>
    <w:rsid w:val="000B6CCA"/>
    <w:rsid w:val="000B6E27"/>
    <w:rsid w:val="000B73EB"/>
    <w:rsid w:val="000B77F4"/>
    <w:rsid w:val="000B7817"/>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8E3"/>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947"/>
    <w:rsid w:val="000D1A6F"/>
    <w:rsid w:val="000D1B9D"/>
    <w:rsid w:val="000D1C94"/>
    <w:rsid w:val="000D211B"/>
    <w:rsid w:val="000D2943"/>
    <w:rsid w:val="000D37BF"/>
    <w:rsid w:val="000D3BE5"/>
    <w:rsid w:val="000D3F2D"/>
    <w:rsid w:val="000D3FD9"/>
    <w:rsid w:val="000D40CE"/>
    <w:rsid w:val="000D446A"/>
    <w:rsid w:val="000D4481"/>
    <w:rsid w:val="000D4492"/>
    <w:rsid w:val="000D463D"/>
    <w:rsid w:val="000D4979"/>
    <w:rsid w:val="000D4E7F"/>
    <w:rsid w:val="000D4ECB"/>
    <w:rsid w:val="000D4F5B"/>
    <w:rsid w:val="000D592D"/>
    <w:rsid w:val="000D5942"/>
    <w:rsid w:val="000D5A96"/>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BC5"/>
    <w:rsid w:val="000E6CF9"/>
    <w:rsid w:val="000E6DA0"/>
    <w:rsid w:val="000E6FED"/>
    <w:rsid w:val="000E7162"/>
    <w:rsid w:val="000E7450"/>
    <w:rsid w:val="000E77FC"/>
    <w:rsid w:val="000E79B3"/>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0F1"/>
    <w:rsid w:val="000F225C"/>
    <w:rsid w:val="000F23C6"/>
    <w:rsid w:val="000F271E"/>
    <w:rsid w:val="000F281A"/>
    <w:rsid w:val="000F2D04"/>
    <w:rsid w:val="000F3183"/>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A4A"/>
    <w:rsid w:val="000F6F4A"/>
    <w:rsid w:val="000F6F63"/>
    <w:rsid w:val="000F7055"/>
    <w:rsid w:val="000F7565"/>
    <w:rsid w:val="000F7832"/>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3E1"/>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DC"/>
    <w:rsid w:val="00117471"/>
    <w:rsid w:val="001177AD"/>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6F1E"/>
    <w:rsid w:val="00127521"/>
    <w:rsid w:val="001275FF"/>
    <w:rsid w:val="00127654"/>
    <w:rsid w:val="0012784C"/>
    <w:rsid w:val="00127906"/>
    <w:rsid w:val="00127915"/>
    <w:rsid w:val="00127AB8"/>
    <w:rsid w:val="00127BEB"/>
    <w:rsid w:val="00127E85"/>
    <w:rsid w:val="001303CB"/>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384"/>
    <w:rsid w:val="001335A7"/>
    <w:rsid w:val="001335C1"/>
    <w:rsid w:val="001335EA"/>
    <w:rsid w:val="00133C49"/>
    <w:rsid w:val="00134082"/>
    <w:rsid w:val="0013430F"/>
    <w:rsid w:val="001344B8"/>
    <w:rsid w:val="001345E2"/>
    <w:rsid w:val="00134620"/>
    <w:rsid w:val="001349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41"/>
    <w:rsid w:val="0014108D"/>
    <w:rsid w:val="00141171"/>
    <w:rsid w:val="001411CE"/>
    <w:rsid w:val="001417C1"/>
    <w:rsid w:val="001425FE"/>
    <w:rsid w:val="0014269E"/>
    <w:rsid w:val="001427DF"/>
    <w:rsid w:val="001428E8"/>
    <w:rsid w:val="00143003"/>
    <w:rsid w:val="00143421"/>
    <w:rsid w:val="001438EF"/>
    <w:rsid w:val="0014396C"/>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25E"/>
    <w:rsid w:val="001553BC"/>
    <w:rsid w:val="00155849"/>
    <w:rsid w:val="00155887"/>
    <w:rsid w:val="00155ACC"/>
    <w:rsid w:val="0015646F"/>
    <w:rsid w:val="00156607"/>
    <w:rsid w:val="00156853"/>
    <w:rsid w:val="00156A5E"/>
    <w:rsid w:val="00156B0C"/>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3095"/>
    <w:rsid w:val="0017342A"/>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32"/>
    <w:rsid w:val="00175DA9"/>
    <w:rsid w:val="00175E25"/>
    <w:rsid w:val="00176261"/>
    <w:rsid w:val="0017626A"/>
    <w:rsid w:val="001766ED"/>
    <w:rsid w:val="00176B19"/>
    <w:rsid w:val="00176B66"/>
    <w:rsid w:val="00176C11"/>
    <w:rsid w:val="00176C67"/>
    <w:rsid w:val="00176D05"/>
    <w:rsid w:val="0017730A"/>
    <w:rsid w:val="001773F2"/>
    <w:rsid w:val="00177B14"/>
    <w:rsid w:val="00177D21"/>
    <w:rsid w:val="001804B6"/>
    <w:rsid w:val="001805EF"/>
    <w:rsid w:val="001807CB"/>
    <w:rsid w:val="001807D6"/>
    <w:rsid w:val="00180917"/>
    <w:rsid w:val="00180AB7"/>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4FF3"/>
    <w:rsid w:val="0019508B"/>
    <w:rsid w:val="001956BB"/>
    <w:rsid w:val="00195AC9"/>
    <w:rsid w:val="00195F55"/>
    <w:rsid w:val="00196339"/>
    <w:rsid w:val="00196639"/>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87"/>
    <w:rsid w:val="001A75B6"/>
    <w:rsid w:val="001A762D"/>
    <w:rsid w:val="001A7762"/>
    <w:rsid w:val="001A78A8"/>
    <w:rsid w:val="001A78CF"/>
    <w:rsid w:val="001A7C78"/>
    <w:rsid w:val="001A7CC0"/>
    <w:rsid w:val="001A7D66"/>
    <w:rsid w:val="001A7E98"/>
    <w:rsid w:val="001A7FCC"/>
    <w:rsid w:val="001B00F8"/>
    <w:rsid w:val="001B010B"/>
    <w:rsid w:val="001B0594"/>
    <w:rsid w:val="001B068B"/>
    <w:rsid w:val="001B086E"/>
    <w:rsid w:val="001B08A2"/>
    <w:rsid w:val="001B0A22"/>
    <w:rsid w:val="001B0D0A"/>
    <w:rsid w:val="001B0F3F"/>
    <w:rsid w:val="001B1739"/>
    <w:rsid w:val="001B18BA"/>
    <w:rsid w:val="001B1A86"/>
    <w:rsid w:val="001B1D8A"/>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3DED"/>
    <w:rsid w:val="001C403F"/>
    <w:rsid w:val="001C4064"/>
    <w:rsid w:val="001C4597"/>
    <w:rsid w:val="001C4ABB"/>
    <w:rsid w:val="001C4B19"/>
    <w:rsid w:val="001C4F71"/>
    <w:rsid w:val="001C5282"/>
    <w:rsid w:val="001C53DC"/>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910"/>
    <w:rsid w:val="001D3D04"/>
    <w:rsid w:val="001D3F5E"/>
    <w:rsid w:val="001D41EB"/>
    <w:rsid w:val="001D45FF"/>
    <w:rsid w:val="001D4840"/>
    <w:rsid w:val="001D5020"/>
    <w:rsid w:val="001D5024"/>
    <w:rsid w:val="001D502E"/>
    <w:rsid w:val="001D55C7"/>
    <w:rsid w:val="001D586F"/>
    <w:rsid w:val="001D5CC1"/>
    <w:rsid w:val="001D5F96"/>
    <w:rsid w:val="001D6203"/>
    <w:rsid w:val="001D6865"/>
    <w:rsid w:val="001D6B3E"/>
    <w:rsid w:val="001D6BAE"/>
    <w:rsid w:val="001D71C4"/>
    <w:rsid w:val="001D7402"/>
    <w:rsid w:val="001D7696"/>
    <w:rsid w:val="001D7859"/>
    <w:rsid w:val="001D7AAB"/>
    <w:rsid w:val="001D7BE6"/>
    <w:rsid w:val="001D7C94"/>
    <w:rsid w:val="001D7F56"/>
    <w:rsid w:val="001D7F5D"/>
    <w:rsid w:val="001E00B3"/>
    <w:rsid w:val="001E0631"/>
    <w:rsid w:val="001E07FB"/>
    <w:rsid w:val="001E0BA7"/>
    <w:rsid w:val="001E0E35"/>
    <w:rsid w:val="001E11C6"/>
    <w:rsid w:val="001E18F5"/>
    <w:rsid w:val="001E1A77"/>
    <w:rsid w:val="001E24C2"/>
    <w:rsid w:val="001E2622"/>
    <w:rsid w:val="001E267E"/>
    <w:rsid w:val="001E26C4"/>
    <w:rsid w:val="001E2793"/>
    <w:rsid w:val="001E334A"/>
    <w:rsid w:val="001E364E"/>
    <w:rsid w:val="001E3729"/>
    <w:rsid w:val="001E37C8"/>
    <w:rsid w:val="001E3BCD"/>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9FC"/>
    <w:rsid w:val="001F0A4C"/>
    <w:rsid w:val="001F0E75"/>
    <w:rsid w:val="001F12C8"/>
    <w:rsid w:val="001F1425"/>
    <w:rsid w:val="001F1AE0"/>
    <w:rsid w:val="001F21A7"/>
    <w:rsid w:val="001F251F"/>
    <w:rsid w:val="001F28BB"/>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4E4"/>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981"/>
    <w:rsid w:val="00210C5D"/>
    <w:rsid w:val="00210DEC"/>
    <w:rsid w:val="00210FD8"/>
    <w:rsid w:val="0021101C"/>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CB7"/>
    <w:rsid w:val="00214F5B"/>
    <w:rsid w:val="0021503B"/>
    <w:rsid w:val="00215483"/>
    <w:rsid w:val="00215A32"/>
    <w:rsid w:val="00215AC0"/>
    <w:rsid w:val="00216526"/>
    <w:rsid w:val="00216565"/>
    <w:rsid w:val="002165C5"/>
    <w:rsid w:val="00216820"/>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E4E"/>
    <w:rsid w:val="002261C0"/>
    <w:rsid w:val="002268E2"/>
    <w:rsid w:val="002268F2"/>
    <w:rsid w:val="00226CE8"/>
    <w:rsid w:val="00227BA0"/>
    <w:rsid w:val="00227D9B"/>
    <w:rsid w:val="002308D8"/>
    <w:rsid w:val="00230D90"/>
    <w:rsid w:val="0023129E"/>
    <w:rsid w:val="002312D9"/>
    <w:rsid w:val="00231378"/>
    <w:rsid w:val="00231AD1"/>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27F"/>
    <w:rsid w:val="00234478"/>
    <w:rsid w:val="0023458A"/>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C0"/>
    <w:rsid w:val="00240405"/>
    <w:rsid w:val="0024056D"/>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CE7"/>
    <w:rsid w:val="00247D12"/>
    <w:rsid w:val="00247DAA"/>
    <w:rsid w:val="00247DEA"/>
    <w:rsid w:val="00247DF0"/>
    <w:rsid w:val="00247F83"/>
    <w:rsid w:val="00250170"/>
    <w:rsid w:val="00250404"/>
    <w:rsid w:val="0025053C"/>
    <w:rsid w:val="00250877"/>
    <w:rsid w:val="002508B6"/>
    <w:rsid w:val="002509C9"/>
    <w:rsid w:val="00250C01"/>
    <w:rsid w:val="00250C2C"/>
    <w:rsid w:val="00251109"/>
    <w:rsid w:val="0025132B"/>
    <w:rsid w:val="002516ED"/>
    <w:rsid w:val="00251827"/>
    <w:rsid w:val="0025195C"/>
    <w:rsid w:val="00252543"/>
    <w:rsid w:val="00252712"/>
    <w:rsid w:val="00252C55"/>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1E99"/>
    <w:rsid w:val="002620E5"/>
    <w:rsid w:val="0026265B"/>
    <w:rsid w:val="00262693"/>
    <w:rsid w:val="00262973"/>
    <w:rsid w:val="00262A86"/>
    <w:rsid w:val="00262ED0"/>
    <w:rsid w:val="0026308B"/>
    <w:rsid w:val="00263355"/>
    <w:rsid w:val="002634C3"/>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EC"/>
    <w:rsid w:val="002723BA"/>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6E7A"/>
    <w:rsid w:val="00277270"/>
    <w:rsid w:val="002772D0"/>
    <w:rsid w:val="0027741D"/>
    <w:rsid w:val="0027746F"/>
    <w:rsid w:val="00277646"/>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4AA4"/>
    <w:rsid w:val="002851A4"/>
    <w:rsid w:val="00285878"/>
    <w:rsid w:val="00285AEF"/>
    <w:rsid w:val="00285C28"/>
    <w:rsid w:val="002860A4"/>
    <w:rsid w:val="00286362"/>
    <w:rsid w:val="00286366"/>
    <w:rsid w:val="002863F4"/>
    <w:rsid w:val="00286527"/>
    <w:rsid w:val="00286544"/>
    <w:rsid w:val="00286920"/>
    <w:rsid w:val="00286AFA"/>
    <w:rsid w:val="00286BF7"/>
    <w:rsid w:val="00286D84"/>
    <w:rsid w:val="0028727D"/>
    <w:rsid w:val="002872F0"/>
    <w:rsid w:val="00287693"/>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E27"/>
    <w:rsid w:val="00295F0E"/>
    <w:rsid w:val="00296095"/>
    <w:rsid w:val="0029623A"/>
    <w:rsid w:val="002963F2"/>
    <w:rsid w:val="002965EA"/>
    <w:rsid w:val="002965F8"/>
    <w:rsid w:val="002967F3"/>
    <w:rsid w:val="00296A41"/>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4FE9"/>
    <w:rsid w:val="002A5117"/>
    <w:rsid w:val="002A52DB"/>
    <w:rsid w:val="002A53E0"/>
    <w:rsid w:val="002A55CA"/>
    <w:rsid w:val="002A5720"/>
    <w:rsid w:val="002A5752"/>
    <w:rsid w:val="002A576B"/>
    <w:rsid w:val="002A57BE"/>
    <w:rsid w:val="002A5A9F"/>
    <w:rsid w:val="002A5AA9"/>
    <w:rsid w:val="002A5AC5"/>
    <w:rsid w:val="002A5E9E"/>
    <w:rsid w:val="002A6F4F"/>
    <w:rsid w:val="002A7AB3"/>
    <w:rsid w:val="002A7C12"/>
    <w:rsid w:val="002A7D65"/>
    <w:rsid w:val="002A7E40"/>
    <w:rsid w:val="002A7EEE"/>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A8"/>
    <w:rsid w:val="002B34FB"/>
    <w:rsid w:val="002B38C1"/>
    <w:rsid w:val="002B4068"/>
    <w:rsid w:val="002B474B"/>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E27"/>
    <w:rsid w:val="002C2E5D"/>
    <w:rsid w:val="002C2E78"/>
    <w:rsid w:val="002C3053"/>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870"/>
    <w:rsid w:val="002C6A72"/>
    <w:rsid w:val="002C6B21"/>
    <w:rsid w:val="002C6B23"/>
    <w:rsid w:val="002C6D68"/>
    <w:rsid w:val="002C6EF1"/>
    <w:rsid w:val="002C75D0"/>
    <w:rsid w:val="002C7ACC"/>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402A"/>
    <w:rsid w:val="002D4142"/>
    <w:rsid w:val="002D4329"/>
    <w:rsid w:val="002D43D9"/>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453"/>
    <w:rsid w:val="002E57DB"/>
    <w:rsid w:val="002E57F0"/>
    <w:rsid w:val="002E58D1"/>
    <w:rsid w:val="002E5A3B"/>
    <w:rsid w:val="002E5F34"/>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367"/>
    <w:rsid w:val="002F45FE"/>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2F7FAB"/>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3774"/>
    <w:rsid w:val="00313B14"/>
    <w:rsid w:val="00314004"/>
    <w:rsid w:val="0031422A"/>
    <w:rsid w:val="00314408"/>
    <w:rsid w:val="00314489"/>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749"/>
    <w:rsid w:val="003318D6"/>
    <w:rsid w:val="00331E0D"/>
    <w:rsid w:val="0033205A"/>
    <w:rsid w:val="003322B7"/>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3A3"/>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5E88"/>
    <w:rsid w:val="003361A3"/>
    <w:rsid w:val="0033688B"/>
    <w:rsid w:val="00336B46"/>
    <w:rsid w:val="00336DFE"/>
    <w:rsid w:val="0033748D"/>
    <w:rsid w:val="003376E0"/>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B6F"/>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163"/>
    <w:rsid w:val="0036128C"/>
    <w:rsid w:val="00361C30"/>
    <w:rsid w:val="003620FE"/>
    <w:rsid w:val="0036213C"/>
    <w:rsid w:val="00362D3F"/>
    <w:rsid w:val="00363216"/>
    <w:rsid w:val="003632D5"/>
    <w:rsid w:val="00363CDA"/>
    <w:rsid w:val="003640D0"/>
    <w:rsid w:val="00364A79"/>
    <w:rsid w:val="00365843"/>
    <w:rsid w:val="003658A6"/>
    <w:rsid w:val="00365A30"/>
    <w:rsid w:val="003660E9"/>
    <w:rsid w:val="00366226"/>
    <w:rsid w:val="003663AD"/>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599"/>
    <w:rsid w:val="00374727"/>
    <w:rsid w:val="0037480A"/>
    <w:rsid w:val="00374834"/>
    <w:rsid w:val="00374856"/>
    <w:rsid w:val="003749BD"/>
    <w:rsid w:val="00374CE9"/>
    <w:rsid w:val="00374E51"/>
    <w:rsid w:val="00375342"/>
    <w:rsid w:val="00375349"/>
    <w:rsid w:val="00375905"/>
    <w:rsid w:val="00375B88"/>
    <w:rsid w:val="00375BD6"/>
    <w:rsid w:val="00376264"/>
    <w:rsid w:val="003769CB"/>
    <w:rsid w:val="00376A10"/>
    <w:rsid w:val="00376D39"/>
    <w:rsid w:val="00376EB8"/>
    <w:rsid w:val="00376F5A"/>
    <w:rsid w:val="00377131"/>
    <w:rsid w:val="00377EE6"/>
    <w:rsid w:val="00377F90"/>
    <w:rsid w:val="00377F99"/>
    <w:rsid w:val="00380215"/>
    <w:rsid w:val="00380856"/>
    <w:rsid w:val="00380939"/>
    <w:rsid w:val="00380B59"/>
    <w:rsid w:val="00380E6D"/>
    <w:rsid w:val="00381849"/>
    <w:rsid w:val="00381B21"/>
    <w:rsid w:val="00381C9E"/>
    <w:rsid w:val="00382208"/>
    <w:rsid w:val="00382284"/>
    <w:rsid w:val="003825BB"/>
    <w:rsid w:val="0038280E"/>
    <w:rsid w:val="003828F3"/>
    <w:rsid w:val="00382C26"/>
    <w:rsid w:val="00383C01"/>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9C"/>
    <w:rsid w:val="00392B8C"/>
    <w:rsid w:val="00392DF7"/>
    <w:rsid w:val="0039315E"/>
    <w:rsid w:val="003931B9"/>
    <w:rsid w:val="003933BD"/>
    <w:rsid w:val="003934E2"/>
    <w:rsid w:val="00393EEE"/>
    <w:rsid w:val="00393F20"/>
    <w:rsid w:val="00393F9A"/>
    <w:rsid w:val="00394121"/>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5B2"/>
    <w:rsid w:val="003B15EB"/>
    <w:rsid w:val="003B1C4D"/>
    <w:rsid w:val="003B1EFC"/>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E02"/>
    <w:rsid w:val="003C6184"/>
    <w:rsid w:val="003C6531"/>
    <w:rsid w:val="003C6A55"/>
    <w:rsid w:val="003C6B1D"/>
    <w:rsid w:val="003C6BAE"/>
    <w:rsid w:val="003C6CAB"/>
    <w:rsid w:val="003C728D"/>
    <w:rsid w:val="003C7449"/>
    <w:rsid w:val="003C7514"/>
    <w:rsid w:val="003C774C"/>
    <w:rsid w:val="003C79D8"/>
    <w:rsid w:val="003C7C3B"/>
    <w:rsid w:val="003D0038"/>
    <w:rsid w:val="003D0388"/>
    <w:rsid w:val="003D073B"/>
    <w:rsid w:val="003D0A31"/>
    <w:rsid w:val="003D0C73"/>
    <w:rsid w:val="003D0D98"/>
    <w:rsid w:val="003D1123"/>
    <w:rsid w:val="003D1F7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DDE"/>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3F"/>
    <w:rsid w:val="003E36B1"/>
    <w:rsid w:val="003E36C7"/>
    <w:rsid w:val="003E37EF"/>
    <w:rsid w:val="003E38A2"/>
    <w:rsid w:val="003E3925"/>
    <w:rsid w:val="003E3C64"/>
    <w:rsid w:val="003E3F01"/>
    <w:rsid w:val="003E40D0"/>
    <w:rsid w:val="003E4352"/>
    <w:rsid w:val="003E4361"/>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95"/>
    <w:rsid w:val="003E6A88"/>
    <w:rsid w:val="003E6B51"/>
    <w:rsid w:val="003E7EC9"/>
    <w:rsid w:val="003F0008"/>
    <w:rsid w:val="003F0279"/>
    <w:rsid w:val="003F0332"/>
    <w:rsid w:val="003F050B"/>
    <w:rsid w:val="003F06D3"/>
    <w:rsid w:val="003F09B4"/>
    <w:rsid w:val="003F09EB"/>
    <w:rsid w:val="003F0A9A"/>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355"/>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0F74"/>
    <w:rsid w:val="00401123"/>
    <w:rsid w:val="00401328"/>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BD"/>
    <w:rsid w:val="00406880"/>
    <w:rsid w:val="00406B5C"/>
    <w:rsid w:val="00406FD3"/>
    <w:rsid w:val="004070A1"/>
    <w:rsid w:val="0040737E"/>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4F3"/>
    <w:rsid w:val="00422D37"/>
    <w:rsid w:val="00422D39"/>
    <w:rsid w:val="00422E61"/>
    <w:rsid w:val="00423435"/>
    <w:rsid w:val="0042392E"/>
    <w:rsid w:val="00423B88"/>
    <w:rsid w:val="00423E1D"/>
    <w:rsid w:val="00423F94"/>
    <w:rsid w:val="004241A7"/>
    <w:rsid w:val="004245B2"/>
    <w:rsid w:val="00424D1C"/>
    <w:rsid w:val="004252BF"/>
    <w:rsid w:val="00425373"/>
    <w:rsid w:val="004253AE"/>
    <w:rsid w:val="0042553B"/>
    <w:rsid w:val="00425C36"/>
    <w:rsid w:val="004264CE"/>
    <w:rsid w:val="0042675C"/>
    <w:rsid w:val="00426C1A"/>
    <w:rsid w:val="00426C24"/>
    <w:rsid w:val="00426EBE"/>
    <w:rsid w:val="00427AC8"/>
    <w:rsid w:val="004300AC"/>
    <w:rsid w:val="00430107"/>
    <w:rsid w:val="00430301"/>
    <w:rsid w:val="00430B0D"/>
    <w:rsid w:val="00431069"/>
    <w:rsid w:val="00431A5E"/>
    <w:rsid w:val="00431DB5"/>
    <w:rsid w:val="00431EA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6DC9"/>
    <w:rsid w:val="004371D4"/>
    <w:rsid w:val="004373DC"/>
    <w:rsid w:val="00437755"/>
    <w:rsid w:val="0043782F"/>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7"/>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B7A"/>
    <w:rsid w:val="00445EA2"/>
    <w:rsid w:val="00445F65"/>
    <w:rsid w:val="004463DC"/>
    <w:rsid w:val="004463DD"/>
    <w:rsid w:val="0044664C"/>
    <w:rsid w:val="004466AD"/>
    <w:rsid w:val="00446701"/>
    <w:rsid w:val="00446BBA"/>
    <w:rsid w:val="00446E50"/>
    <w:rsid w:val="00447188"/>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84"/>
    <w:rsid w:val="00451A38"/>
    <w:rsid w:val="00451ACA"/>
    <w:rsid w:val="00451ADC"/>
    <w:rsid w:val="00451AF7"/>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4EE2"/>
    <w:rsid w:val="00455112"/>
    <w:rsid w:val="004552E1"/>
    <w:rsid w:val="004554CD"/>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6AE"/>
    <w:rsid w:val="0046177F"/>
    <w:rsid w:val="00461AA1"/>
    <w:rsid w:val="00461C36"/>
    <w:rsid w:val="00461D4A"/>
    <w:rsid w:val="00461EBD"/>
    <w:rsid w:val="00461F77"/>
    <w:rsid w:val="004621D4"/>
    <w:rsid w:val="00462672"/>
    <w:rsid w:val="00462985"/>
    <w:rsid w:val="00462C92"/>
    <w:rsid w:val="00462D0F"/>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E92"/>
    <w:rsid w:val="00470B67"/>
    <w:rsid w:val="00470D83"/>
    <w:rsid w:val="00470F44"/>
    <w:rsid w:val="004710C0"/>
    <w:rsid w:val="0047121B"/>
    <w:rsid w:val="00471377"/>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0EED"/>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95A"/>
    <w:rsid w:val="00483A49"/>
    <w:rsid w:val="00483B3C"/>
    <w:rsid w:val="00483D0D"/>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DF6"/>
    <w:rsid w:val="004A1F4F"/>
    <w:rsid w:val="004A26A7"/>
    <w:rsid w:val="004A29C9"/>
    <w:rsid w:val="004A2A0E"/>
    <w:rsid w:val="004A2D69"/>
    <w:rsid w:val="004A2D71"/>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63"/>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77"/>
    <w:rsid w:val="004D35AD"/>
    <w:rsid w:val="004D36D8"/>
    <w:rsid w:val="004D3BF2"/>
    <w:rsid w:val="004D3E8A"/>
    <w:rsid w:val="004D3F29"/>
    <w:rsid w:val="004D40E4"/>
    <w:rsid w:val="004D4459"/>
    <w:rsid w:val="004D476D"/>
    <w:rsid w:val="004D4946"/>
    <w:rsid w:val="004D4DA8"/>
    <w:rsid w:val="004D4E3E"/>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1094"/>
    <w:rsid w:val="004E12A5"/>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3F3B"/>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345B"/>
    <w:rsid w:val="00503889"/>
    <w:rsid w:val="00503A44"/>
    <w:rsid w:val="00503AF6"/>
    <w:rsid w:val="00503B2A"/>
    <w:rsid w:val="00503CE4"/>
    <w:rsid w:val="005046AB"/>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1E"/>
    <w:rsid w:val="00507BAF"/>
    <w:rsid w:val="00507D0E"/>
    <w:rsid w:val="00507ED9"/>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168"/>
    <w:rsid w:val="005163E6"/>
    <w:rsid w:val="0051665E"/>
    <w:rsid w:val="0051673C"/>
    <w:rsid w:val="00516D7B"/>
    <w:rsid w:val="00517196"/>
    <w:rsid w:val="005173CE"/>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2C52"/>
    <w:rsid w:val="00523466"/>
    <w:rsid w:val="00523AF8"/>
    <w:rsid w:val="00523DD2"/>
    <w:rsid w:val="00523E1B"/>
    <w:rsid w:val="00523F10"/>
    <w:rsid w:val="005242AF"/>
    <w:rsid w:val="00524A74"/>
    <w:rsid w:val="00524CB1"/>
    <w:rsid w:val="0052514B"/>
    <w:rsid w:val="005252CF"/>
    <w:rsid w:val="0052539D"/>
    <w:rsid w:val="00525833"/>
    <w:rsid w:val="00525E27"/>
    <w:rsid w:val="005265AA"/>
    <w:rsid w:val="005265BE"/>
    <w:rsid w:val="00526A18"/>
    <w:rsid w:val="00526ADF"/>
    <w:rsid w:val="00526C75"/>
    <w:rsid w:val="00526D21"/>
    <w:rsid w:val="00526D25"/>
    <w:rsid w:val="00526D3E"/>
    <w:rsid w:val="00526EC5"/>
    <w:rsid w:val="00526F20"/>
    <w:rsid w:val="005271CF"/>
    <w:rsid w:val="005273B7"/>
    <w:rsid w:val="00527593"/>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1EE"/>
    <w:rsid w:val="00546355"/>
    <w:rsid w:val="0054665E"/>
    <w:rsid w:val="00546ADB"/>
    <w:rsid w:val="00546F8B"/>
    <w:rsid w:val="0054779C"/>
    <w:rsid w:val="005478ED"/>
    <w:rsid w:val="005478EE"/>
    <w:rsid w:val="00547983"/>
    <w:rsid w:val="00547AD7"/>
    <w:rsid w:val="00547C94"/>
    <w:rsid w:val="00547CF0"/>
    <w:rsid w:val="005500C8"/>
    <w:rsid w:val="00550147"/>
    <w:rsid w:val="0055022A"/>
    <w:rsid w:val="005502A8"/>
    <w:rsid w:val="00550916"/>
    <w:rsid w:val="00550998"/>
    <w:rsid w:val="00550B76"/>
    <w:rsid w:val="00550CB6"/>
    <w:rsid w:val="00550DE3"/>
    <w:rsid w:val="00551005"/>
    <w:rsid w:val="00551A4A"/>
    <w:rsid w:val="00551A78"/>
    <w:rsid w:val="00551D3D"/>
    <w:rsid w:val="005520BB"/>
    <w:rsid w:val="005521E0"/>
    <w:rsid w:val="00552AEE"/>
    <w:rsid w:val="00552E27"/>
    <w:rsid w:val="00552EC8"/>
    <w:rsid w:val="0055316D"/>
    <w:rsid w:val="00553440"/>
    <w:rsid w:val="00553491"/>
    <w:rsid w:val="005535D8"/>
    <w:rsid w:val="00553793"/>
    <w:rsid w:val="00553A23"/>
    <w:rsid w:val="00553A6E"/>
    <w:rsid w:val="005545BB"/>
    <w:rsid w:val="00554932"/>
    <w:rsid w:val="00554A15"/>
    <w:rsid w:val="00554D35"/>
    <w:rsid w:val="00554EF3"/>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20E"/>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F60"/>
    <w:rsid w:val="005720FA"/>
    <w:rsid w:val="00572222"/>
    <w:rsid w:val="00572365"/>
    <w:rsid w:val="005723DB"/>
    <w:rsid w:val="00572679"/>
    <w:rsid w:val="00572775"/>
    <w:rsid w:val="005727BC"/>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697"/>
    <w:rsid w:val="00576A27"/>
    <w:rsid w:val="00576A72"/>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809"/>
    <w:rsid w:val="00582835"/>
    <w:rsid w:val="00582A83"/>
    <w:rsid w:val="0058323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75E"/>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2BD1"/>
    <w:rsid w:val="00593543"/>
    <w:rsid w:val="0059385D"/>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39A"/>
    <w:rsid w:val="005A03E8"/>
    <w:rsid w:val="005A0501"/>
    <w:rsid w:val="005A05A8"/>
    <w:rsid w:val="005A0A53"/>
    <w:rsid w:val="005A0D02"/>
    <w:rsid w:val="005A0E02"/>
    <w:rsid w:val="005A121D"/>
    <w:rsid w:val="005A1842"/>
    <w:rsid w:val="005A1A64"/>
    <w:rsid w:val="005A1C91"/>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6FF"/>
    <w:rsid w:val="005A5839"/>
    <w:rsid w:val="005A597F"/>
    <w:rsid w:val="005A5997"/>
    <w:rsid w:val="005A5CE4"/>
    <w:rsid w:val="005A693F"/>
    <w:rsid w:val="005A6963"/>
    <w:rsid w:val="005A6AD2"/>
    <w:rsid w:val="005A72FB"/>
    <w:rsid w:val="005A746A"/>
    <w:rsid w:val="005A74B4"/>
    <w:rsid w:val="005A759A"/>
    <w:rsid w:val="005A7F6F"/>
    <w:rsid w:val="005B02E3"/>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5A7"/>
    <w:rsid w:val="005C286F"/>
    <w:rsid w:val="005C2886"/>
    <w:rsid w:val="005C2B7C"/>
    <w:rsid w:val="005C2CF7"/>
    <w:rsid w:val="005C2EF8"/>
    <w:rsid w:val="005C306F"/>
    <w:rsid w:val="005C35A0"/>
    <w:rsid w:val="005C38B5"/>
    <w:rsid w:val="005C3ACD"/>
    <w:rsid w:val="005C3DD3"/>
    <w:rsid w:val="005C429E"/>
    <w:rsid w:val="005C456E"/>
    <w:rsid w:val="005C4599"/>
    <w:rsid w:val="005C47F7"/>
    <w:rsid w:val="005C4FFB"/>
    <w:rsid w:val="005C504D"/>
    <w:rsid w:val="005C5A44"/>
    <w:rsid w:val="005C5BE0"/>
    <w:rsid w:val="005C5D37"/>
    <w:rsid w:val="005C5FC6"/>
    <w:rsid w:val="005C60E1"/>
    <w:rsid w:val="005C6357"/>
    <w:rsid w:val="005C6365"/>
    <w:rsid w:val="005C638C"/>
    <w:rsid w:val="005C65DD"/>
    <w:rsid w:val="005C6641"/>
    <w:rsid w:val="005C675D"/>
    <w:rsid w:val="005C69F4"/>
    <w:rsid w:val="005C6C28"/>
    <w:rsid w:val="005C7026"/>
    <w:rsid w:val="005C7100"/>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4AF"/>
    <w:rsid w:val="005E29E6"/>
    <w:rsid w:val="005E2B19"/>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5FF7"/>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0B9"/>
    <w:rsid w:val="00607658"/>
    <w:rsid w:val="006077B1"/>
    <w:rsid w:val="006077F9"/>
    <w:rsid w:val="00607859"/>
    <w:rsid w:val="00607863"/>
    <w:rsid w:val="00607A7B"/>
    <w:rsid w:val="00607B90"/>
    <w:rsid w:val="00607D63"/>
    <w:rsid w:val="00607E1A"/>
    <w:rsid w:val="00607FE2"/>
    <w:rsid w:val="00610050"/>
    <w:rsid w:val="00610150"/>
    <w:rsid w:val="0061037C"/>
    <w:rsid w:val="00610653"/>
    <w:rsid w:val="006108AB"/>
    <w:rsid w:val="00610AB5"/>
    <w:rsid w:val="00611758"/>
    <w:rsid w:val="006119CE"/>
    <w:rsid w:val="00611EA3"/>
    <w:rsid w:val="00611F57"/>
    <w:rsid w:val="00612016"/>
    <w:rsid w:val="00612484"/>
    <w:rsid w:val="006125AB"/>
    <w:rsid w:val="006129BB"/>
    <w:rsid w:val="00612AAF"/>
    <w:rsid w:val="00612E32"/>
    <w:rsid w:val="00612FC7"/>
    <w:rsid w:val="00612FE8"/>
    <w:rsid w:val="006134E5"/>
    <w:rsid w:val="00613543"/>
    <w:rsid w:val="00613892"/>
    <w:rsid w:val="00613988"/>
    <w:rsid w:val="00613BC3"/>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9E2"/>
    <w:rsid w:val="00617A84"/>
    <w:rsid w:val="00617D21"/>
    <w:rsid w:val="00617DC0"/>
    <w:rsid w:val="00617E3E"/>
    <w:rsid w:val="006201EF"/>
    <w:rsid w:val="006201FE"/>
    <w:rsid w:val="00620238"/>
    <w:rsid w:val="00620611"/>
    <w:rsid w:val="00620B57"/>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3F03"/>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349"/>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3634"/>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19"/>
    <w:rsid w:val="00647DD2"/>
    <w:rsid w:val="00647F41"/>
    <w:rsid w:val="00650319"/>
    <w:rsid w:val="0065053D"/>
    <w:rsid w:val="006509B6"/>
    <w:rsid w:val="00650A76"/>
    <w:rsid w:val="00650A8D"/>
    <w:rsid w:val="00650D5D"/>
    <w:rsid w:val="00650F2D"/>
    <w:rsid w:val="00650FCE"/>
    <w:rsid w:val="00650FE7"/>
    <w:rsid w:val="006515CB"/>
    <w:rsid w:val="00651602"/>
    <w:rsid w:val="00651AA0"/>
    <w:rsid w:val="00651AA4"/>
    <w:rsid w:val="006520DE"/>
    <w:rsid w:val="00652135"/>
    <w:rsid w:val="006521C7"/>
    <w:rsid w:val="006522FC"/>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4045"/>
    <w:rsid w:val="00664173"/>
    <w:rsid w:val="006648C6"/>
    <w:rsid w:val="00665C0E"/>
    <w:rsid w:val="00665EDD"/>
    <w:rsid w:val="00665FD1"/>
    <w:rsid w:val="00666197"/>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4D3"/>
    <w:rsid w:val="00674607"/>
    <w:rsid w:val="00674700"/>
    <w:rsid w:val="00674760"/>
    <w:rsid w:val="006749AA"/>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A87"/>
    <w:rsid w:val="00677D77"/>
    <w:rsid w:val="00677E01"/>
    <w:rsid w:val="00677FC7"/>
    <w:rsid w:val="00680167"/>
    <w:rsid w:val="00680273"/>
    <w:rsid w:val="006806EE"/>
    <w:rsid w:val="00680836"/>
    <w:rsid w:val="00680A32"/>
    <w:rsid w:val="00680F0E"/>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626"/>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76"/>
    <w:rsid w:val="00691DFA"/>
    <w:rsid w:val="00691ECC"/>
    <w:rsid w:val="006920F8"/>
    <w:rsid w:val="0069232B"/>
    <w:rsid w:val="00692E6B"/>
    <w:rsid w:val="00692F11"/>
    <w:rsid w:val="00693304"/>
    <w:rsid w:val="00693AA1"/>
    <w:rsid w:val="00693C6D"/>
    <w:rsid w:val="00693C7B"/>
    <w:rsid w:val="006945A7"/>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2271"/>
    <w:rsid w:val="006A2481"/>
    <w:rsid w:val="006A24E7"/>
    <w:rsid w:val="006A27F5"/>
    <w:rsid w:val="006A2A12"/>
    <w:rsid w:val="006A2A2D"/>
    <w:rsid w:val="006A2AB7"/>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F71"/>
    <w:rsid w:val="006A4FA6"/>
    <w:rsid w:val="006A513B"/>
    <w:rsid w:val="006A5160"/>
    <w:rsid w:val="006A5951"/>
    <w:rsid w:val="006A5BFF"/>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C53"/>
    <w:rsid w:val="006B0D33"/>
    <w:rsid w:val="006B1552"/>
    <w:rsid w:val="006B17C0"/>
    <w:rsid w:val="006B1B56"/>
    <w:rsid w:val="006B1F08"/>
    <w:rsid w:val="006B2203"/>
    <w:rsid w:val="006B26B9"/>
    <w:rsid w:val="006B26C3"/>
    <w:rsid w:val="006B2BDA"/>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29F"/>
    <w:rsid w:val="006C14A7"/>
    <w:rsid w:val="006C1CEE"/>
    <w:rsid w:val="006C1FE1"/>
    <w:rsid w:val="006C2260"/>
    <w:rsid w:val="006C2585"/>
    <w:rsid w:val="006C2962"/>
    <w:rsid w:val="006C2A1C"/>
    <w:rsid w:val="006C2DA3"/>
    <w:rsid w:val="006C2F43"/>
    <w:rsid w:val="006C316C"/>
    <w:rsid w:val="006C3511"/>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567"/>
    <w:rsid w:val="006D768D"/>
    <w:rsid w:val="006D77BC"/>
    <w:rsid w:val="006D790F"/>
    <w:rsid w:val="006D7BB2"/>
    <w:rsid w:val="006D7F44"/>
    <w:rsid w:val="006E015F"/>
    <w:rsid w:val="006E02CA"/>
    <w:rsid w:val="006E03D0"/>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20"/>
    <w:rsid w:val="006E5757"/>
    <w:rsid w:val="006E5ACE"/>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36F"/>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891"/>
    <w:rsid w:val="00703C5E"/>
    <w:rsid w:val="00703E8B"/>
    <w:rsid w:val="0070455C"/>
    <w:rsid w:val="0070473C"/>
    <w:rsid w:val="00704F80"/>
    <w:rsid w:val="00705385"/>
    <w:rsid w:val="007057E9"/>
    <w:rsid w:val="00705958"/>
    <w:rsid w:val="00705C55"/>
    <w:rsid w:val="00705FDE"/>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149C"/>
    <w:rsid w:val="0072171F"/>
    <w:rsid w:val="0072182E"/>
    <w:rsid w:val="00722493"/>
    <w:rsid w:val="0072257B"/>
    <w:rsid w:val="00722E44"/>
    <w:rsid w:val="00722F63"/>
    <w:rsid w:val="007233EF"/>
    <w:rsid w:val="007234F0"/>
    <w:rsid w:val="00723719"/>
    <w:rsid w:val="007237B4"/>
    <w:rsid w:val="00724144"/>
    <w:rsid w:val="00724362"/>
    <w:rsid w:val="0072465A"/>
    <w:rsid w:val="007248ED"/>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B3E"/>
    <w:rsid w:val="00727BCF"/>
    <w:rsid w:val="00727DC1"/>
    <w:rsid w:val="00730169"/>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3A9"/>
    <w:rsid w:val="00735535"/>
    <w:rsid w:val="0073589B"/>
    <w:rsid w:val="00735992"/>
    <w:rsid w:val="00735D67"/>
    <w:rsid w:val="00735E40"/>
    <w:rsid w:val="00736346"/>
    <w:rsid w:val="007365F3"/>
    <w:rsid w:val="0073677B"/>
    <w:rsid w:val="0073685F"/>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3BA"/>
    <w:rsid w:val="00742A79"/>
    <w:rsid w:val="00742AF5"/>
    <w:rsid w:val="0074332F"/>
    <w:rsid w:val="00743663"/>
    <w:rsid w:val="00743B7A"/>
    <w:rsid w:val="0074401A"/>
    <w:rsid w:val="0074408C"/>
    <w:rsid w:val="007443A5"/>
    <w:rsid w:val="00744546"/>
    <w:rsid w:val="00744592"/>
    <w:rsid w:val="007446D3"/>
    <w:rsid w:val="00744711"/>
    <w:rsid w:val="007447CC"/>
    <w:rsid w:val="00744935"/>
    <w:rsid w:val="00744AD6"/>
    <w:rsid w:val="00744B88"/>
    <w:rsid w:val="00744C80"/>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2C8A"/>
    <w:rsid w:val="00753366"/>
    <w:rsid w:val="00753490"/>
    <w:rsid w:val="007537A2"/>
    <w:rsid w:val="0075384A"/>
    <w:rsid w:val="0075385E"/>
    <w:rsid w:val="00753988"/>
    <w:rsid w:val="00753A38"/>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DBF"/>
    <w:rsid w:val="007561AB"/>
    <w:rsid w:val="00756270"/>
    <w:rsid w:val="007564E1"/>
    <w:rsid w:val="00756900"/>
    <w:rsid w:val="00756F8A"/>
    <w:rsid w:val="007571AF"/>
    <w:rsid w:val="00757200"/>
    <w:rsid w:val="0075730F"/>
    <w:rsid w:val="007573C9"/>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4F95"/>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47"/>
    <w:rsid w:val="007772D7"/>
    <w:rsid w:val="0077743D"/>
    <w:rsid w:val="00777518"/>
    <w:rsid w:val="007777AC"/>
    <w:rsid w:val="00777892"/>
    <w:rsid w:val="00777AF2"/>
    <w:rsid w:val="00777CF7"/>
    <w:rsid w:val="00777E73"/>
    <w:rsid w:val="00777E91"/>
    <w:rsid w:val="00777F1B"/>
    <w:rsid w:val="00780487"/>
    <w:rsid w:val="00780889"/>
    <w:rsid w:val="00780BDF"/>
    <w:rsid w:val="00780C91"/>
    <w:rsid w:val="00780CF8"/>
    <w:rsid w:val="00781654"/>
    <w:rsid w:val="00781F8F"/>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C0"/>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2C4"/>
    <w:rsid w:val="007A0337"/>
    <w:rsid w:val="007A05CF"/>
    <w:rsid w:val="007A0664"/>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197"/>
    <w:rsid w:val="007A34A0"/>
    <w:rsid w:val="007A34A3"/>
    <w:rsid w:val="007A3521"/>
    <w:rsid w:val="007A359A"/>
    <w:rsid w:val="007A378D"/>
    <w:rsid w:val="007A3A16"/>
    <w:rsid w:val="007A3CC5"/>
    <w:rsid w:val="007A3CD8"/>
    <w:rsid w:val="007A468F"/>
    <w:rsid w:val="007A48F7"/>
    <w:rsid w:val="007A4ABF"/>
    <w:rsid w:val="007A4E8D"/>
    <w:rsid w:val="007A5AF9"/>
    <w:rsid w:val="007A5CF0"/>
    <w:rsid w:val="007A5DF3"/>
    <w:rsid w:val="007A5F0E"/>
    <w:rsid w:val="007A62F5"/>
    <w:rsid w:val="007A6679"/>
    <w:rsid w:val="007A681E"/>
    <w:rsid w:val="007A6AC3"/>
    <w:rsid w:val="007A6B05"/>
    <w:rsid w:val="007A6BAD"/>
    <w:rsid w:val="007A6BD3"/>
    <w:rsid w:val="007A6E00"/>
    <w:rsid w:val="007A6F02"/>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DA4"/>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287"/>
    <w:rsid w:val="007B64C0"/>
    <w:rsid w:val="007B65F8"/>
    <w:rsid w:val="007B677F"/>
    <w:rsid w:val="007B6866"/>
    <w:rsid w:val="007B68FD"/>
    <w:rsid w:val="007B6971"/>
    <w:rsid w:val="007B6BDE"/>
    <w:rsid w:val="007B6BE0"/>
    <w:rsid w:val="007B6DBA"/>
    <w:rsid w:val="007B77F2"/>
    <w:rsid w:val="007B7C4F"/>
    <w:rsid w:val="007B7F65"/>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78E"/>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6E97"/>
    <w:rsid w:val="007D7615"/>
    <w:rsid w:val="007D7778"/>
    <w:rsid w:val="007D77A6"/>
    <w:rsid w:val="007D7B7C"/>
    <w:rsid w:val="007E0045"/>
    <w:rsid w:val="007E02D5"/>
    <w:rsid w:val="007E0F88"/>
    <w:rsid w:val="007E119E"/>
    <w:rsid w:val="007E123C"/>
    <w:rsid w:val="007E150C"/>
    <w:rsid w:val="007E1C32"/>
    <w:rsid w:val="007E208F"/>
    <w:rsid w:val="007E23F8"/>
    <w:rsid w:val="007E240B"/>
    <w:rsid w:val="007E24C9"/>
    <w:rsid w:val="007E2772"/>
    <w:rsid w:val="007E281A"/>
    <w:rsid w:val="007E2C20"/>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27"/>
    <w:rsid w:val="00813793"/>
    <w:rsid w:val="0081384A"/>
    <w:rsid w:val="008138F8"/>
    <w:rsid w:val="00813D86"/>
    <w:rsid w:val="00813EBD"/>
    <w:rsid w:val="008143FD"/>
    <w:rsid w:val="00814955"/>
    <w:rsid w:val="00814CC0"/>
    <w:rsid w:val="00814F24"/>
    <w:rsid w:val="00814F70"/>
    <w:rsid w:val="008153C6"/>
    <w:rsid w:val="008154E3"/>
    <w:rsid w:val="0081554E"/>
    <w:rsid w:val="008155E9"/>
    <w:rsid w:val="00815734"/>
    <w:rsid w:val="00815E46"/>
    <w:rsid w:val="008161D7"/>
    <w:rsid w:val="008163B6"/>
    <w:rsid w:val="00816569"/>
    <w:rsid w:val="0081664E"/>
    <w:rsid w:val="00816793"/>
    <w:rsid w:val="00817130"/>
    <w:rsid w:val="0081739E"/>
    <w:rsid w:val="0081758C"/>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717"/>
    <w:rsid w:val="00840845"/>
    <w:rsid w:val="0084099E"/>
    <w:rsid w:val="00840B60"/>
    <w:rsid w:val="00840E61"/>
    <w:rsid w:val="008410E8"/>
    <w:rsid w:val="008411F2"/>
    <w:rsid w:val="008414FC"/>
    <w:rsid w:val="00841639"/>
    <w:rsid w:val="00841644"/>
    <w:rsid w:val="00841842"/>
    <w:rsid w:val="00841A76"/>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3AA"/>
    <w:rsid w:val="008544AC"/>
    <w:rsid w:val="00854503"/>
    <w:rsid w:val="00854609"/>
    <w:rsid w:val="00854E52"/>
    <w:rsid w:val="008553AC"/>
    <w:rsid w:val="0085551C"/>
    <w:rsid w:val="008556A7"/>
    <w:rsid w:val="00855B54"/>
    <w:rsid w:val="00855DC1"/>
    <w:rsid w:val="0085629F"/>
    <w:rsid w:val="00856472"/>
    <w:rsid w:val="00856523"/>
    <w:rsid w:val="0085678F"/>
    <w:rsid w:val="0085697D"/>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67CC5"/>
    <w:rsid w:val="00870358"/>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19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F09"/>
    <w:rsid w:val="00887FFE"/>
    <w:rsid w:val="0089041F"/>
    <w:rsid w:val="00890803"/>
    <w:rsid w:val="00890B8E"/>
    <w:rsid w:val="00890CE4"/>
    <w:rsid w:val="00890D61"/>
    <w:rsid w:val="00890EFE"/>
    <w:rsid w:val="00891018"/>
    <w:rsid w:val="0089135C"/>
    <w:rsid w:val="00891899"/>
    <w:rsid w:val="0089198C"/>
    <w:rsid w:val="00891B64"/>
    <w:rsid w:val="00891CA7"/>
    <w:rsid w:val="00891F0C"/>
    <w:rsid w:val="00892217"/>
    <w:rsid w:val="00892553"/>
    <w:rsid w:val="00892AFB"/>
    <w:rsid w:val="0089311F"/>
    <w:rsid w:val="00893136"/>
    <w:rsid w:val="008934E1"/>
    <w:rsid w:val="008935B8"/>
    <w:rsid w:val="00893F88"/>
    <w:rsid w:val="00894108"/>
    <w:rsid w:val="008942F7"/>
    <w:rsid w:val="0089446B"/>
    <w:rsid w:val="00894697"/>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EE"/>
    <w:rsid w:val="008A1D3A"/>
    <w:rsid w:val="008A1E8B"/>
    <w:rsid w:val="008A233C"/>
    <w:rsid w:val="008A26D4"/>
    <w:rsid w:val="008A275A"/>
    <w:rsid w:val="008A295F"/>
    <w:rsid w:val="008A2B53"/>
    <w:rsid w:val="008A2CE6"/>
    <w:rsid w:val="008A2D45"/>
    <w:rsid w:val="008A2EB0"/>
    <w:rsid w:val="008A2EF1"/>
    <w:rsid w:val="008A33A5"/>
    <w:rsid w:val="008A3514"/>
    <w:rsid w:val="008A3898"/>
    <w:rsid w:val="008A3991"/>
    <w:rsid w:val="008A39B4"/>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6D6"/>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6AB"/>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AD4"/>
    <w:rsid w:val="008E4CE3"/>
    <w:rsid w:val="008E4F24"/>
    <w:rsid w:val="008E55D4"/>
    <w:rsid w:val="008E55D5"/>
    <w:rsid w:val="008E5796"/>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B35"/>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4DF6"/>
    <w:rsid w:val="008F561B"/>
    <w:rsid w:val="008F5A5C"/>
    <w:rsid w:val="008F5C07"/>
    <w:rsid w:val="008F5D65"/>
    <w:rsid w:val="008F6045"/>
    <w:rsid w:val="008F60EC"/>
    <w:rsid w:val="008F618B"/>
    <w:rsid w:val="008F62E9"/>
    <w:rsid w:val="008F6400"/>
    <w:rsid w:val="008F640B"/>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20DD"/>
    <w:rsid w:val="0090269D"/>
    <w:rsid w:val="009028AE"/>
    <w:rsid w:val="00902A67"/>
    <w:rsid w:val="00902EA2"/>
    <w:rsid w:val="00902F34"/>
    <w:rsid w:val="00903024"/>
    <w:rsid w:val="00903149"/>
    <w:rsid w:val="009034FC"/>
    <w:rsid w:val="0090375A"/>
    <w:rsid w:val="00903C02"/>
    <w:rsid w:val="00903CFB"/>
    <w:rsid w:val="00903D2F"/>
    <w:rsid w:val="00903D6F"/>
    <w:rsid w:val="00904467"/>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07FE4"/>
    <w:rsid w:val="009101D7"/>
    <w:rsid w:val="00910D65"/>
    <w:rsid w:val="00911084"/>
    <w:rsid w:val="0091110D"/>
    <w:rsid w:val="00911141"/>
    <w:rsid w:val="009112C6"/>
    <w:rsid w:val="009117E9"/>
    <w:rsid w:val="00911908"/>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8AD"/>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9A0"/>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1DF9"/>
    <w:rsid w:val="00952047"/>
    <w:rsid w:val="009521BC"/>
    <w:rsid w:val="0095242A"/>
    <w:rsid w:val="00952B22"/>
    <w:rsid w:val="00952BE3"/>
    <w:rsid w:val="00952D8C"/>
    <w:rsid w:val="00952EA8"/>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396"/>
    <w:rsid w:val="009553CF"/>
    <w:rsid w:val="00955461"/>
    <w:rsid w:val="00955504"/>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1AF9"/>
    <w:rsid w:val="0097229F"/>
    <w:rsid w:val="00972413"/>
    <w:rsid w:val="00972523"/>
    <w:rsid w:val="009726DA"/>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757"/>
    <w:rsid w:val="00976D64"/>
    <w:rsid w:val="00976DFF"/>
    <w:rsid w:val="00976EA2"/>
    <w:rsid w:val="00976F5B"/>
    <w:rsid w:val="00976FEF"/>
    <w:rsid w:val="00977391"/>
    <w:rsid w:val="00977403"/>
    <w:rsid w:val="009774FC"/>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F95"/>
    <w:rsid w:val="00986572"/>
    <w:rsid w:val="009867FB"/>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E80"/>
    <w:rsid w:val="009B1F55"/>
    <w:rsid w:val="009B1FAA"/>
    <w:rsid w:val="009B28BF"/>
    <w:rsid w:val="009B2E36"/>
    <w:rsid w:val="009B392E"/>
    <w:rsid w:val="009B394A"/>
    <w:rsid w:val="009B39E7"/>
    <w:rsid w:val="009B3C8F"/>
    <w:rsid w:val="009B3D01"/>
    <w:rsid w:val="009B4180"/>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B45"/>
    <w:rsid w:val="009C4E0E"/>
    <w:rsid w:val="009C4E33"/>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8A6"/>
    <w:rsid w:val="009D0F2E"/>
    <w:rsid w:val="009D0FFC"/>
    <w:rsid w:val="009D19D5"/>
    <w:rsid w:val="009D1B87"/>
    <w:rsid w:val="009D2367"/>
    <w:rsid w:val="009D2450"/>
    <w:rsid w:val="009D2AB9"/>
    <w:rsid w:val="009D2ABB"/>
    <w:rsid w:val="009D2F12"/>
    <w:rsid w:val="009D2F36"/>
    <w:rsid w:val="009D3236"/>
    <w:rsid w:val="009D32A2"/>
    <w:rsid w:val="009D471B"/>
    <w:rsid w:val="009D48DF"/>
    <w:rsid w:val="009D4CFE"/>
    <w:rsid w:val="009D4E28"/>
    <w:rsid w:val="009D505B"/>
    <w:rsid w:val="009D506E"/>
    <w:rsid w:val="009D55DD"/>
    <w:rsid w:val="009D5612"/>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D83"/>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5EA4"/>
    <w:rsid w:val="009E61FC"/>
    <w:rsid w:val="009E6347"/>
    <w:rsid w:val="009E6724"/>
    <w:rsid w:val="009E675C"/>
    <w:rsid w:val="009E70BF"/>
    <w:rsid w:val="009E73C7"/>
    <w:rsid w:val="009E7488"/>
    <w:rsid w:val="009E75DD"/>
    <w:rsid w:val="009E7943"/>
    <w:rsid w:val="009E7B7C"/>
    <w:rsid w:val="009E7D5E"/>
    <w:rsid w:val="009F034A"/>
    <w:rsid w:val="009F07DE"/>
    <w:rsid w:val="009F0ECF"/>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1B6"/>
    <w:rsid w:val="00A10416"/>
    <w:rsid w:val="00A1046A"/>
    <w:rsid w:val="00A1076C"/>
    <w:rsid w:val="00A108EA"/>
    <w:rsid w:val="00A10A23"/>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E62"/>
    <w:rsid w:val="00A13FB6"/>
    <w:rsid w:val="00A143FD"/>
    <w:rsid w:val="00A149F2"/>
    <w:rsid w:val="00A14AB5"/>
    <w:rsid w:val="00A14BA0"/>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5E4"/>
    <w:rsid w:val="00A236CB"/>
    <w:rsid w:val="00A23A6A"/>
    <w:rsid w:val="00A23B91"/>
    <w:rsid w:val="00A244CC"/>
    <w:rsid w:val="00A25311"/>
    <w:rsid w:val="00A256DD"/>
    <w:rsid w:val="00A257B7"/>
    <w:rsid w:val="00A25A7B"/>
    <w:rsid w:val="00A25B96"/>
    <w:rsid w:val="00A25E77"/>
    <w:rsid w:val="00A2603F"/>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EB6"/>
    <w:rsid w:val="00A445DE"/>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82"/>
    <w:rsid w:val="00A57B95"/>
    <w:rsid w:val="00A57BD8"/>
    <w:rsid w:val="00A57C7D"/>
    <w:rsid w:val="00A57E9A"/>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D6"/>
    <w:rsid w:val="00A671C1"/>
    <w:rsid w:val="00A671DF"/>
    <w:rsid w:val="00A6730A"/>
    <w:rsid w:val="00A67503"/>
    <w:rsid w:val="00A7003D"/>
    <w:rsid w:val="00A70051"/>
    <w:rsid w:val="00A70217"/>
    <w:rsid w:val="00A70243"/>
    <w:rsid w:val="00A70457"/>
    <w:rsid w:val="00A7048E"/>
    <w:rsid w:val="00A7070D"/>
    <w:rsid w:val="00A708DB"/>
    <w:rsid w:val="00A70AED"/>
    <w:rsid w:val="00A70C66"/>
    <w:rsid w:val="00A70CFC"/>
    <w:rsid w:val="00A70D38"/>
    <w:rsid w:val="00A71128"/>
    <w:rsid w:val="00A71219"/>
    <w:rsid w:val="00A71562"/>
    <w:rsid w:val="00A718F3"/>
    <w:rsid w:val="00A71A30"/>
    <w:rsid w:val="00A71AD1"/>
    <w:rsid w:val="00A71C6C"/>
    <w:rsid w:val="00A724CA"/>
    <w:rsid w:val="00A7263B"/>
    <w:rsid w:val="00A72734"/>
    <w:rsid w:val="00A72958"/>
    <w:rsid w:val="00A72D4B"/>
    <w:rsid w:val="00A72EC9"/>
    <w:rsid w:val="00A73461"/>
    <w:rsid w:val="00A73718"/>
    <w:rsid w:val="00A73870"/>
    <w:rsid w:val="00A73C47"/>
    <w:rsid w:val="00A73F26"/>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EF5"/>
    <w:rsid w:val="00A77205"/>
    <w:rsid w:val="00A7758E"/>
    <w:rsid w:val="00A77607"/>
    <w:rsid w:val="00A77BA5"/>
    <w:rsid w:val="00A77CF2"/>
    <w:rsid w:val="00A77D4E"/>
    <w:rsid w:val="00A77FE0"/>
    <w:rsid w:val="00A80058"/>
    <w:rsid w:val="00A8039F"/>
    <w:rsid w:val="00A8046F"/>
    <w:rsid w:val="00A805E7"/>
    <w:rsid w:val="00A807FD"/>
    <w:rsid w:val="00A80A98"/>
    <w:rsid w:val="00A80BD6"/>
    <w:rsid w:val="00A80BEA"/>
    <w:rsid w:val="00A80C91"/>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7D2"/>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938"/>
    <w:rsid w:val="00A97B2F"/>
    <w:rsid w:val="00A97C20"/>
    <w:rsid w:val="00AA07A2"/>
    <w:rsid w:val="00AA08D9"/>
    <w:rsid w:val="00AA0A31"/>
    <w:rsid w:val="00AA0E80"/>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61F"/>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B4F"/>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3EA4"/>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562"/>
    <w:rsid w:val="00AC15F3"/>
    <w:rsid w:val="00AC172A"/>
    <w:rsid w:val="00AC1C1C"/>
    <w:rsid w:val="00AC21AB"/>
    <w:rsid w:val="00AC23A5"/>
    <w:rsid w:val="00AC246B"/>
    <w:rsid w:val="00AC2515"/>
    <w:rsid w:val="00AC2671"/>
    <w:rsid w:val="00AC2A9E"/>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B92"/>
    <w:rsid w:val="00AD0C50"/>
    <w:rsid w:val="00AD0CF0"/>
    <w:rsid w:val="00AD0E0D"/>
    <w:rsid w:val="00AD0E10"/>
    <w:rsid w:val="00AD1156"/>
    <w:rsid w:val="00AD1354"/>
    <w:rsid w:val="00AD15D1"/>
    <w:rsid w:val="00AD1783"/>
    <w:rsid w:val="00AD195C"/>
    <w:rsid w:val="00AD1C81"/>
    <w:rsid w:val="00AD2264"/>
    <w:rsid w:val="00AD28B4"/>
    <w:rsid w:val="00AD2926"/>
    <w:rsid w:val="00AD2A87"/>
    <w:rsid w:val="00AD2C01"/>
    <w:rsid w:val="00AD2C95"/>
    <w:rsid w:val="00AD2E68"/>
    <w:rsid w:val="00AD2EA8"/>
    <w:rsid w:val="00AD2F42"/>
    <w:rsid w:val="00AD31F8"/>
    <w:rsid w:val="00AD3254"/>
    <w:rsid w:val="00AD3A86"/>
    <w:rsid w:val="00AD3F0E"/>
    <w:rsid w:val="00AD422F"/>
    <w:rsid w:val="00AD4269"/>
    <w:rsid w:val="00AD4312"/>
    <w:rsid w:val="00AD4364"/>
    <w:rsid w:val="00AD4645"/>
    <w:rsid w:val="00AD4A0B"/>
    <w:rsid w:val="00AD4BE6"/>
    <w:rsid w:val="00AD4E61"/>
    <w:rsid w:val="00AD5A38"/>
    <w:rsid w:val="00AD5C0C"/>
    <w:rsid w:val="00AD6179"/>
    <w:rsid w:val="00AD62F6"/>
    <w:rsid w:val="00AD68C7"/>
    <w:rsid w:val="00AD6AD9"/>
    <w:rsid w:val="00AD6CBF"/>
    <w:rsid w:val="00AD7450"/>
    <w:rsid w:val="00AD75CB"/>
    <w:rsid w:val="00AD7988"/>
    <w:rsid w:val="00AD7B55"/>
    <w:rsid w:val="00AD7B61"/>
    <w:rsid w:val="00AD7DAD"/>
    <w:rsid w:val="00AD7ECB"/>
    <w:rsid w:val="00AE0147"/>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A6A"/>
    <w:rsid w:val="00AE5B53"/>
    <w:rsid w:val="00AE5D9F"/>
    <w:rsid w:val="00AE60E5"/>
    <w:rsid w:val="00AE616F"/>
    <w:rsid w:val="00AE6415"/>
    <w:rsid w:val="00AE64EA"/>
    <w:rsid w:val="00AE68E9"/>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A49"/>
    <w:rsid w:val="00AF1F2E"/>
    <w:rsid w:val="00AF2158"/>
    <w:rsid w:val="00AF22E5"/>
    <w:rsid w:val="00AF22E6"/>
    <w:rsid w:val="00AF26A9"/>
    <w:rsid w:val="00AF2756"/>
    <w:rsid w:val="00AF2955"/>
    <w:rsid w:val="00AF29A7"/>
    <w:rsid w:val="00AF2ABA"/>
    <w:rsid w:val="00AF2B30"/>
    <w:rsid w:val="00AF2B5C"/>
    <w:rsid w:val="00AF3048"/>
    <w:rsid w:val="00AF3201"/>
    <w:rsid w:val="00AF3589"/>
    <w:rsid w:val="00AF3A15"/>
    <w:rsid w:val="00AF3BC7"/>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5EF6"/>
    <w:rsid w:val="00AF60CC"/>
    <w:rsid w:val="00AF6ABB"/>
    <w:rsid w:val="00AF6ADC"/>
    <w:rsid w:val="00AF6EDB"/>
    <w:rsid w:val="00AF70AE"/>
    <w:rsid w:val="00AF70B0"/>
    <w:rsid w:val="00AF789D"/>
    <w:rsid w:val="00AF79BF"/>
    <w:rsid w:val="00AF7CD0"/>
    <w:rsid w:val="00B0010A"/>
    <w:rsid w:val="00B006CC"/>
    <w:rsid w:val="00B00850"/>
    <w:rsid w:val="00B00AE5"/>
    <w:rsid w:val="00B00BE9"/>
    <w:rsid w:val="00B00D5B"/>
    <w:rsid w:val="00B00DC6"/>
    <w:rsid w:val="00B01041"/>
    <w:rsid w:val="00B016B6"/>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48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15"/>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C6F"/>
    <w:rsid w:val="00B440B5"/>
    <w:rsid w:val="00B4419E"/>
    <w:rsid w:val="00B4443F"/>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E4"/>
    <w:rsid w:val="00B61DE3"/>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2B8F"/>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42F"/>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9CA"/>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75"/>
    <w:rsid w:val="00BA1434"/>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5D93"/>
    <w:rsid w:val="00BA60D9"/>
    <w:rsid w:val="00BA62B4"/>
    <w:rsid w:val="00BA63F4"/>
    <w:rsid w:val="00BA64A2"/>
    <w:rsid w:val="00BA6500"/>
    <w:rsid w:val="00BA6542"/>
    <w:rsid w:val="00BA662B"/>
    <w:rsid w:val="00BA6B57"/>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766"/>
    <w:rsid w:val="00BC1C66"/>
    <w:rsid w:val="00BC1C7F"/>
    <w:rsid w:val="00BC1F3F"/>
    <w:rsid w:val="00BC264B"/>
    <w:rsid w:val="00BC2C2C"/>
    <w:rsid w:val="00BC2D0C"/>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1DD"/>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DF8"/>
    <w:rsid w:val="00BE19B0"/>
    <w:rsid w:val="00BE1D6C"/>
    <w:rsid w:val="00BE1E22"/>
    <w:rsid w:val="00BE20E8"/>
    <w:rsid w:val="00BE2162"/>
    <w:rsid w:val="00BE2322"/>
    <w:rsid w:val="00BE2422"/>
    <w:rsid w:val="00BE2629"/>
    <w:rsid w:val="00BE2825"/>
    <w:rsid w:val="00BE2E91"/>
    <w:rsid w:val="00BE31DD"/>
    <w:rsid w:val="00BE35D9"/>
    <w:rsid w:val="00BE36E1"/>
    <w:rsid w:val="00BE3870"/>
    <w:rsid w:val="00BE3AEC"/>
    <w:rsid w:val="00BE3B50"/>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CEB"/>
    <w:rsid w:val="00BE7D01"/>
    <w:rsid w:val="00BF024F"/>
    <w:rsid w:val="00BF032A"/>
    <w:rsid w:val="00BF0498"/>
    <w:rsid w:val="00BF0649"/>
    <w:rsid w:val="00BF08BA"/>
    <w:rsid w:val="00BF0979"/>
    <w:rsid w:val="00BF0DA9"/>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8C5"/>
    <w:rsid w:val="00BF4D91"/>
    <w:rsid w:val="00BF4F2C"/>
    <w:rsid w:val="00BF511F"/>
    <w:rsid w:val="00BF52FD"/>
    <w:rsid w:val="00BF53D0"/>
    <w:rsid w:val="00BF53FF"/>
    <w:rsid w:val="00BF598E"/>
    <w:rsid w:val="00BF5BF5"/>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B48"/>
    <w:rsid w:val="00C03B93"/>
    <w:rsid w:val="00C03C1F"/>
    <w:rsid w:val="00C040CE"/>
    <w:rsid w:val="00C04175"/>
    <w:rsid w:val="00C04184"/>
    <w:rsid w:val="00C04306"/>
    <w:rsid w:val="00C04747"/>
    <w:rsid w:val="00C048DC"/>
    <w:rsid w:val="00C04999"/>
    <w:rsid w:val="00C04ACC"/>
    <w:rsid w:val="00C04D6E"/>
    <w:rsid w:val="00C04F74"/>
    <w:rsid w:val="00C04F7D"/>
    <w:rsid w:val="00C051D1"/>
    <w:rsid w:val="00C052B4"/>
    <w:rsid w:val="00C05A30"/>
    <w:rsid w:val="00C063BF"/>
    <w:rsid w:val="00C06408"/>
    <w:rsid w:val="00C06A58"/>
    <w:rsid w:val="00C06CA1"/>
    <w:rsid w:val="00C06E11"/>
    <w:rsid w:val="00C06F5F"/>
    <w:rsid w:val="00C07571"/>
    <w:rsid w:val="00C07849"/>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990"/>
    <w:rsid w:val="00C14BAC"/>
    <w:rsid w:val="00C14D3C"/>
    <w:rsid w:val="00C1542D"/>
    <w:rsid w:val="00C158DF"/>
    <w:rsid w:val="00C15F0D"/>
    <w:rsid w:val="00C16401"/>
    <w:rsid w:val="00C16596"/>
    <w:rsid w:val="00C16726"/>
    <w:rsid w:val="00C16743"/>
    <w:rsid w:val="00C169CD"/>
    <w:rsid w:val="00C16CA8"/>
    <w:rsid w:val="00C16CC5"/>
    <w:rsid w:val="00C16CC9"/>
    <w:rsid w:val="00C16D1D"/>
    <w:rsid w:val="00C17571"/>
    <w:rsid w:val="00C17579"/>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C51"/>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8C6"/>
    <w:rsid w:val="00C45C52"/>
    <w:rsid w:val="00C45E4A"/>
    <w:rsid w:val="00C45EB9"/>
    <w:rsid w:val="00C463AA"/>
    <w:rsid w:val="00C464DE"/>
    <w:rsid w:val="00C465A5"/>
    <w:rsid w:val="00C46648"/>
    <w:rsid w:val="00C466AA"/>
    <w:rsid w:val="00C46AB4"/>
    <w:rsid w:val="00C46E8A"/>
    <w:rsid w:val="00C470D3"/>
    <w:rsid w:val="00C472A1"/>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95"/>
    <w:rsid w:val="00C534F1"/>
    <w:rsid w:val="00C53560"/>
    <w:rsid w:val="00C5371A"/>
    <w:rsid w:val="00C53768"/>
    <w:rsid w:val="00C539A5"/>
    <w:rsid w:val="00C53A47"/>
    <w:rsid w:val="00C53BC3"/>
    <w:rsid w:val="00C544C8"/>
    <w:rsid w:val="00C544F1"/>
    <w:rsid w:val="00C545A7"/>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3DE"/>
    <w:rsid w:val="00C575EF"/>
    <w:rsid w:val="00C57958"/>
    <w:rsid w:val="00C57CE6"/>
    <w:rsid w:val="00C601D9"/>
    <w:rsid w:val="00C60397"/>
    <w:rsid w:val="00C60534"/>
    <w:rsid w:val="00C6082D"/>
    <w:rsid w:val="00C60B4B"/>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7DD"/>
    <w:rsid w:val="00C64839"/>
    <w:rsid w:val="00C64842"/>
    <w:rsid w:val="00C648B6"/>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3B9"/>
    <w:rsid w:val="00C6768E"/>
    <w:rsid w:val="00C67691"/>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9C8"/>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294"/>
    <w:rsid w:val="00C76615"/>
    <w:rsid w:val="00C7666B"/>
    <w:rsid w:val="00C76A19"/>
    <w:rsid w:val="00C76BDC"/>
    <w:rsid w:val="00C76BFC"/>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CE7"/>
    <w:rsid w:val="00C83EB3"/>
    <w:rsid w:val="00C842FF"/>
    <w:rsid w:val="00C8432D"/>
    <w:rsid w:val="00C8448B"/>
    <w:rsid w:val="00C84627"/>
    <w:rsid w:val="00C84716"/>
    <w:rsid w:val="00C8489C"/>
    <w:rsid w:val="00C84B9F"/>
    <w:rsid w:val="00C84EDF"/>
    <w:rsid w:val="00C8554E"/>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7B0"/>
    <w:rsid w:val="00C929E2"/>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4CE"/>
    <w:rsid w:val="00CA573E"/>
    <w:rsid w:val="00CA5775"/>
    <w:rsid w:val="00CA59AD"/>
    <w:rsid w:val="00CA5B35"/>
    <w:rsid w:val="00CA5B65"/>
    <w:rsid w:val="00CA5CE4"/>
    <w:rsid w:val="00CA6EE8"/>
    <w:rsid w:val="00CA6FDD"/>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E9B"/>
    <w:rsid w:val="00CB2F05"/>
    <w:rsid w:val="00CB2F51"/>
    <w:rsid w:val="00CB3231"/>
    <w:rsid w:val="00CB32AD"/>
    <w:rsid w:val="00CB3735"/>
    <w:rsid w:val="00CB387A"/>
    <w:rsid w:val="00CB3968"/>
    <w:rsid w:val="00CB3E90"/>
    <w:rsid w:val="00CB439E"/>
    <w:rsid w:val="00CB445C"/>
    <w:rsid w:val="00CB4676"/>
    <w:rsid w:val="00CB48C8"/>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CFF"/>
    <w:rsid w:val="00CC3743"/>
    <w:rsid w:val="00CC3769"/>
    <w:rsid w:val="00CC38F1"/>
    <w:rsid w:val="00CC3B24"/>
    <w:rsid w:val="00CC3E05"/>
    <w:rsid w:val="00CC43EC"/>
    <w:rsid w:val="00CC45C6"/>
    <w:rsid w:val="00CC4C7F"/>
    <w:rsid w:val="00CC4CAF"/>
    <w:rsid w:val="00CC4D0F"/>
    <w:rsid w:val="00CC4D46"/>
    <w:rsid w:val="00CC5071"/>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282"/>
    <w:rsid w:val="00CD1462"/>
    <w:rsid w:val="00CD15C4"/>
    <w:rsid w:val="00CD1848"/>
    <w:rsid w:val="00CD1D4D"/>
    <w:rsid w:val="00CD2057"/>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9CC"/>
    <w:rsid w:val="00CD7A02"/>
    <w:rsid w:val="00CD7DC9"/>
    <w:rsid w:val="00CE0553"/>
    <w:rsid w:val="00CE0602"/>
    <w:rsid w:val="00CE0A3C"/>
    <w:rsid w:val="00CE0AC5"/>
    <w:rsid w:val="00CE0C8E"/>
    <w:rsid w:val="00CE0F06"/>
    <w:rsid w:val="00CE124D"/>
    <w:rsid w:val="00CE13AA"/>
    <w:rsid w:val="00CE1492"/>
    <w:rsid w:val="00CE1BC7"/>
    <w:rsid w:val="00CE229D"/>
    <w:rsid w:val="00CE2547"/>
    <w:rsid w:val="00CE25A3"/>
    <w:rsid w:val="00CE2B0C"/>
    <w:rsid w:val="00CE3553"/>
    <w:rsid w:val="00CE361A"/>
    <w:rsid w:val="00CE36DF"/>
    <w:rsid w:val="00CE37CF"/>
    <w:rsid w:val="00CE39C0"/>
    <w:rsid w:val="00CE39D8"/>
    <w:rsid w:val="00CE3EFA"/>
    <w:rsid w:val="00CE4586"/>
    <w:rsid w:val="00CE45F0"/>
    <w:rsid w:val="00CE4758"/>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142"/>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6637"/>
    <w:rsid w:val="00CF69E7"/>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D4C"/>
    <w:rsid w:val="00D13E42"/>
    <w:rsid w:val="00D14046"/>
    <w:rsid w:val="00D14687"/>
    <w:rsid w:val="00D14741"/>
    <w:rsid w:val="00D14ABC"/>
    <w:rsid w:val="00D14B6D"/>
    <w:rsid w:val="00D14C0C"/>
    <w:rsid w:val="00D1539E"/>
    <w:rsid w:val="00D1548A"/>
    <w:rsid w:val="00D1561B"/>
    <w:rsid w:val="00D15C2B"/>
    <w:rsid w:val="00D16136"/>
    <w:rsid w:val="00D164C8"/>
    <w:rsid w:val="00D16841"/>
    <w:rsid w:val="00D168E6"/>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80F"/>
    <w:rsid w:val="00D24D6C"/>
    <w:rsid w:val="00D24D8C"/>
    <w:rsid w:val="00D24DF8"/>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5F"/>
    <w:rsid w:val="00D35D8B"/>
    <w:rsid w:val="00D35DEF"/>
    <w:rsid w:val="00D35E9B"/>
    <w:rsid w:val="00D360B4"/>
    <w:rsid w:val="00D36349"/>
    <w:rsid w:val="00D36450"/>
    <w:rsid w:val="00D3670C"/>
    <w:rsid w:val="00D3684A"/>
    <w:rsid w:val="00D37067"/>
    <w:rsid w:val="00D37395"/>
    <w:rsid w:val="00D374EC"/>
    <w:rsid w:val="00D40737"/>
    <w:rsid w:val="00D40766"/>
    <w:rsid w:val="00D40D83"/>
    <w:rsid w:val="00D40F6F"/>
    <w:rsid w:val="00D41318"/>
    <w:rsid w:val="00D41409"/>
    <w:rsid w:val="00D416B2"/>
    <w:rsid w:val="00D416DF"/>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BAA"/>
    <w:rsid w:val="00D454DB"/>
    <w:rsid w:val="00D457F6"/>
    <w:rsid w:val="00D45891"/>
    <w:rsid w:val="00D45DC2"/>
    <w:rsid w:val="00D46BCB"/>
    <w:rsid w:val="00D46F55"/>
    <w:rsid w:val="00D4730E"/>
    <w:rsid w:val="00D474C3"/>
    <w:rsid w:val="00D47505"/>
    <w:rsid w:val="00D4755F"/>
    <w:rsid w:val="00D4799B"/>
    <w:rsid w:val="00D47B37"/>
    <w:rsid w:val="00D47BEF"/>
    <w:rsid w:val="00D47E51"/>
    <w:rsid w:val="00D47F7D"/>
    <w:rsid w:val="00D500E8"/>
    <w:rsid w:val="00D5029A"/>
    <w:rsid w:val="00D50A00"/>
    <w:rsid w:val="00D50D04"/>
    <w:rsid w:val="00D50E43"/>
    <w:rsid w:val="00D5118C"/>
    <w:rsid w:val="00D514F6"/>
    <w:rsid w:val="00D51795"/>
    <w:rsid w:val="00D51A5B"/>
    <w:rsid w:val="00D51D92"/>
    <w:rsid w:val="00D51DE1"/>
    <w:rsid w:val="00D51E32"/>
    <w:rsid w:val="00D51FDE"/>
    <w:rsid w:val="00D5252E"/>
    <w:rsid w:val="00D526B3"/>
    <w:rsid w:val="00D5298C"/>
    <w:rsid w:val="00D52A39"/>
    <w:rsid w:val="00D52AF3"/>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72A"/>
    <w:rsid w:val="00D61854"/>
    <w:rsid w:val="00D61898"/>
    <w:rsid w:val="00D61961"/>
    <w:rsid w:val="00D61B4E"/>
    <w:rsid w:val="00D61B83"/>
    <w:rsid w:val="00D6242A"/>
    <w:rsid w:val="00D627A0"/>
    <w:rsid w:val="00D62887"/>
    <w:rsid w:val="00D628FB"/>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7F2"/>
    <w:rsid w:val="00D70ABB"/>
    <w:rsid w:val="00D70B21"/>
    <w:rsid w:val="00D70C30"/>
    <w:rsid w:val="00D70E69"/>
    <w:rsid w:val="00D7115E"/>
    <w:rsid w:val="00D71219"/>
    <w:rsid w:val="00D715FC"/>
    <w:rsid w:val="00D7181F"/>
    <w:rsid w:val="00D71AFE"/>
    <w:rsid w:val="00D71BCD"/>
    <w:rsid w:val="00D71F8B"/>
    <w:rsid w:val="00D728B1"/>
    <w:rsid w:val="00D728B5"/>
    <w:rsid w:val="00D72947"/>
    <w:rsid w:val="00D72AF1"/>
    <w:rsid w:val="00D72C0D"/>
    <w:rsid w:val="00D72C9F"/>
    <w:rsid w:val="00D73319"/>
    <w:rsid w:val="00D73521"/>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A56"/>
    <w:rsid w:val="00D90DE9"/>
    <w:rsid w:val="00D90E74"/>
    <w:rsid w:val="00D90FAF"/>
    <w:rsid w:val="00D9107F"/>
    <w:rsid w:val="00D912B8"/>
    <w:rsid w:val="00D912D4"/>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A93"/>
    <w:rsid w:val="00D97EDD"/>
    <w:rsid w:val="00D97FF4"/>
    <w:rsid w:val="00DA0468"/>
    <w:rsid w:val="00DA05C5"/>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2E5"/>
    <w:rsid w:val="00DA3377"/>
    <w:rsid w:val="00DA36C9"/>
    <w:rsid w:val="00DA3B5C"/>
    <w:rsid w:val="00DA4119"/>
    <w:rsid w:val="00DA41EA"/>
    <w:rsid w:val="00DA436F"/>
    <w:rsid w:val="00DA4453"/>
    <w:rsid w:val="00DA4476"/>
    <w:rsid w:val="00DA44A0"/>
    <w:rsid w:val="00DA4A74"/>
    <w:rsid w:val="00DA4BF2"/>
    <w:rsid w:val="00DA4C71"/>
    <w:rsid w:val="00DA5489"/>
    <w:rsid w:val="00DA59FB"/>
    <w:rsid w:val="00DA5BF7"/>
    <w:rsid w:val="00DA5D6F"/>
    <w:rsid w:val="00DA640F"/>
    <w:rsid w:val="00DA6492"/>
    <w:rsid w:val="00DA67F6"/>
    <w:rsid w:val="00DA6A6A"/>
    <w:rsid w:val="00DA6D15"/>
    <w:rsid w:val="00DA760A"/>
    <w:rsid w:val="00DA76DF"/>
    <w:rsid w:val="00DA7719"/>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96D"/>
    <w:rsid w:val="00DC2B09"/>
    <w:rsid w:val="00DC2E1B"/>
    <w:rsid w:val="00DC3262"/>
    <w:rsid w:val="00DC34BE"/>
    <w:rsid w:val="00DC36ED"/>
    <w:rsid w:val="00DC3C50"/>
    <w:rsid w:val="00DC3E33"/>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B54"/>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219"/>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C56"/>
    <w:rsid w:val="00DD4CF4"/>
    <w:rsid w:val="00DD5167"/>
    <w:rsid w:val="00DD5CA0"/>
    <w:rsid w:val="00DD5CAC"/>
    <w:rsid w:val="00DD5D0B"/>
    <w:rsid w:val="00DD5EDC"/>
    <w:rsid w:val="00DD5F17"/>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34"/>
    <w:rsid w:val="00DF090A"/>
    <w:rsid w:val="00DF156E"/>
    <w:rsid w:val="00DF20E3"/>
    <w:rsid w:val="00DF212F"/>
    <w:rsid w:val="00DF25BA"/>
    <w:rsid w:val="00DF27BE"/>
    <w:rsid w:val="00DF2927"/>
    <w:rsid w:val="00DF29DE"/>
    <w:rsid w:val="00DF2A59"/>
    <w:rsid w:val="00DF2B23"/>
    <w:rsid w:val="00DF2CBD"/>
    <w:rsid w:val="00DF2DB2"/>
    <w:rsid w:val="00DF2EB7"/>
    <w:rsid w:val="00DF311E"/>
    <w:rsid w:val="00DF35D4"/>
    <w:rsid w:val="00DF36D4"/>
    <w:rsid w:val="00DF390C"/>
    <w:rsid w:val="00DF3A96"/>
    <w:rsid w:val="00DF3CF5"/>
    <w:rsid w:val="00DF4362"/>
    <w:rsid w:val="00DF4395"/>
    <w:rsid w:val="00DF4457"/>
    <w:rsid w:val="00DF4990"/>
    <w:rsid w:val="00DF4A72"/>
    <w:rsid w:val="00DF4B13"/>
    <w:rsid w:val="00DF4BBD"/>
    <w:rsid w:val="00DF5179"/>
    <w:rsid w:val="00DF5BB7"/>
    <w:rsid w:val="00DF5BFF"/>
    <w:rsid w:val="00DF5C15"/>
    <w:rsid w:val="00DF6089"/>
    <w:rsid w:val="00DF6149"/>
    <w:rsid w:val="00DF67B9"/>
    <w:rsid w:val="00DF69C2"/>
    <w:rsid w:val="00DF6B1F"/>
    <w:rsid w:val="00DF6CB3"/>
    <w:rsid w:val="00DF7171"/>
    <w:rsid w:val="00DF72FC"/>
    <w:rsid w:val="00DF72FD"/>
    <w:rsid w:val="00DF76C1"/>
    <w:rsid w:val="00DF7816"/>
    <w:rsid w:val="00DF7B84"/>
    <w:rsid w:val="00DF7E78"/>
    <w:rsid w:val="00E00324"/>
    <w:rsid w:val="00E004A4"/>
    <w:rsid w:val="00E006B5"/>
    <w:rsid w:val="00E0098F"/>
    <w:rsid w:val="00E009D5"/>
    <w:rsid w:val="00E00FE0"/>
    <w:rsid w:val="00E011AD"/>
    <w:rsid w:val="00E0139C"/>
    <w:rsid w:val="00E0192B"/>
    <w:rsid w:val="00E0196A"/>
    <w:rsid w:val="00E01C26"/>
    <w:rsid w:val="00E01FF8"/>
    <w:rsid w:val="00E02176"/>
    <w:rsid w:val="00E023B2"/>
    <w:rsid w:val="00E029F3"/>
    <w:rsid w:val="00E02B96"/>
    <w:rsid w:val="00E03380"/>
    <w:rsid w:val="00E033B0"/>
    <w:rsid w:val="00E0370C"/>
    <w:rsid w:val="00E03778"/>
    <w:rsid w:val="00E03C00"/>
    <w:rsid w:val="00E03DA2"/>
    <w:rsid w:val="00E03F2A"/>
    <w:rsid w:val="00E04103"/>
    <w:rsid w:val="00E04879"/>
    <w:rsid w:val="00E04C71"/>
    <w:rsid w:val="00E04E48"/>
    <w:rsid w:val="00E055D1"/>
    <w:rsid w:val="00E055D8"/>
    <w:rsid w:val="00E06175"/>
    <w:rsid w:val="00E0652B"/>
    <w:rsid w:val="00E067A4"/>
    <w:rsid w:val="00E0696B"/>
    <w:rsid w:val="00E06AC9"/>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12BF"/>
    <w:rsid w:val="00E1211F"/>
    <w:rsid w:val="00E1224C"/>
    <w:rsid w:val="00E12303"/>
    <w:rsid w:val="00E123E5"/>
    <w:rsid w:val="00E12480"/>
    <w:rsid w:val="00E1278F"/>
    <w:rsid w:val="00E12A72"/>
    <w:rsid w:val="00E12AEA"/>
    <w:rsid w:val="00E12AEF"/>
    <w:rsid w:val="00E12CAB"/>
    <w:rsid w:val="00E12F38"/>
    <w:rsid w:val="00E14225"/>
    <w:rsid w:val="00E1446D"/>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6DB"/>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8C0"/>
    <w:rsid w:val="00E219A8"/>
    <w:rsid w:val="00E21BA2"/>
    <w:rsid w:val="00E21C27"/>
    <w:rsid w:val="00E21C38"/>
    <w:rsid w:val="00E22345"/>
    <w:rsid w:val="00E229AE"/>
    <w:rsid w:val="00E22CDD"/>
    <w:rsid w:val="00E22DA8"/>
    <w:rsid w:val="00E2306E"/>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DDF"/>
    <w:rsid w:val="00E24EC4"/>
    <w:rsid w:val="00E251F8"/>
    <w:rsid w:val="00E2538D"/>
    <w:rsid w:val="00E25492"/>
    <w:rsid w:val="00E25D6B"/>
    <w:rsid w:val="00E260AE"/>
    <w:rsid w:val="00E261E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6B"/>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A82"/>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4E5"/>
    <w:rsid w:val="00E4375A"/>
    <w:rsid w:val="00E438AE"/>
    <w:rsid w:val="00E4450C"/>
    <w:rsid w:val="00E4464E"/>
    <w:rsid w:val="00E4475B"/>
    <w:rsid w:val="00E447D9"/>
    <w:rsid w:val="00E4483F"/>
    <w:rsid w:val="00E44D6D"/>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54B"/>
    <w:rsid w:val="00E66A33"/>
    <w:rsid w:val="00E66B94"/>
    <w:rsid w:val="00E66DD8"/>
    <w:rsid w:val="00E66E23"/>
    <w:rsid w:val="00E672CD"/>
    <w:rsid w:val="00E67437"/>
    <w:rsid w:val="00E675C3"/>
    <w:rsid w:val="00E67693"/>
    <w:rsid w:val="00E67776"/>
    <w:rsid w:val="00E6795C"/>
    <w:rsid w:val="00E67F8A"/>
    <w:rsid w:val="00E7091D"/>
    <w:rsid w:val="00E713BF"/>
    <w:rsid w:val="00E715D3"/>
    <w:rsid w:val="00E71D05"/>
    <w:rsid w:val="00E71EF4"/>
    <w:rsid w:val="00E721BB"/>
    <w:rsid w:val="00E72392"/>
    <w:rsid w:val="00E726B5"/>
    <w:rsid w:val="00E72764"/>
    <w:rsid w:val="00E72898"/>
    <w:rsid w:val="00E72985"/>
    <w:rsid w:val="00E72D0D"/>
    <w:rsid w:val="00E72DD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908"/>
    <w:rsid w:val="00E74A04"/>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5A8"/>
    <w:rsid w:val="00E82757"/>
    <w:rsid w:val="00E828D9"/>
    <w:rsid w:val="00E82B26"/>
    <w:rsid w:val="00E830CD"/>
    <w:rsid w:val="00E831B8"/>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D56"/>
    <w:rsid w:val="00E85EAA"/>
    <w:rsid w:val="00E86126"/>
    <w:rsid w:val="00E86144"/>
    <w:rsid w:val="00E8625D"/>
    <w:rsid w:val="00E86662"/>
    <w:rsid w:val="00E86712"/>
    <w:rsid w:val="00E8673A"/>
    <w:rsid w:val="00E86AC8"/>
    <w:rsid w:val="00E86B3A"/>
    <w:rsid w:val="00E86EF6"/>
    <w:rsid w:val="00E87228"/>
    <w:rsid w:val="00E87229"/>
    <w:rsid w:val="00E8727E"/>
    <w:rsid w:val="00E87816"/>
    <w:rsid w:val="00E8782C"/>
    <w:rsid w:val="00E87DE7"/>
    <w:rsid w:val="00E9000E"/>
    <w:rsid w:val="00E900EC"/>
    <w:rsid w:val="00E9084C"/>
    <w:rsid w:val="00E90915"/>
    <w:rsid w:val="00E9099B"/>
    <w:rsid w:val="00E9121C"/>
    <w:rsid w:val="00E912F4"/>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ABA"/>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67"/>
    <w:rsid w:val="00EA6FE7"/>
    <w:rsid w:val="00EA7276"/>
    <w:rsid w:val="00EA73EB"/>
    <w:rsid w:val="00EA7440"/>
    <w:rsid w:val="00EA7834"/>
    <w:rsid w:val="00EA7D28"/>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3F"/>
    <w:rsid w:val="00EC137B"/>
    <w:rsid w:val="00EC16BC"/>
    <w:rsid w:val="00EC16D3"/>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5BB4"/>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AEC"/>
    <w:rsid w:val="00EE3470"/>
    <w:rsid w:val="00EE3506"/>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44E"/>
    <w:rsid w:val="00F005C6"/>
    <w:rsid w:val="00F0088F"/>
    <w:rsid w:val="00F0095A"/>
    <w:rsid w:val="00F0096D"/>
    <w:rsid w:val="00F00CC2"/>
    <w:rsid w:val="00F00EB1"/>
    <w:rsid w:val="00F0111C"/>
    <w:rsid w:val="00F012AA"/>
    <w:rsid w:val="00F012FE"/>
    <w:rsid w:val="00F01565"/>
    <w:rsid w:val="00F01633"/>
    <w:rsid w:val="00F017C5"/>
    <w:rsid w:val="00F01F30"/>
    <w:rsid w:val="00F01FC3"/>
    <w:rsid w:val="00F02183"/>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22"/>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823"/>
    <w:rsid w:val="00F26A52"/>
    <w:rsid w:val="00F26E9E"/>
    <w:rsid w:val="00F2758A"/>
    <w:rsid w:val="00F2792C"/>
    <w:rsid w:val="00F27AA2"/>
    <w:rsid w:val="00F27AC7"/>
    <w:rsid w:val="00F30314"/>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488"/>
    <w:rsid w:val="00F337D3"/>
    <w:rsid w:val="00F33C64"/>
    <w:rsid w:val="00F33CC5"/>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37A0C"/>
    <w:rsid w:val="00F400BB"/>
    <w:rsid w:val="00F400DD"/>
    <w:rsid w:val="00F402BB"/>
    <w:rsid w:val="00F40327"/>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965"/>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393"/>
    <w:rsid w:val="00F51BCE"/>
    <w:rsid w:val="00F51BF4"/>
    <w:rsid w:val="00F51E85"/>
    <w:rsid w:val="00F521AF"/>
    <w:rsid w:val="00F5221A"/>
    <w:rsid w:val="00F52407"/>
    <w:rsid w:val="00F5276F"/>
    <w:rsid w:val="00F527DD"/>
    <w:rsid w:val="00F52B51"/>
    <w:rsid w:val="00F52CC9"/>
    <w:rsid w:val="00F52E24"/>
    <w:rsid w:val="00F53170"/>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828"/>
    <w:rsid w:val="00F55CD0"/>
    <w:rsid w:val="00F55CEE"/>
    <w:rsid w:val="00F55F1B"/>
    <w:rsid w:val="00F5605B"/>
    <w:rsid w:val="00F5637C"/>
    <w:rsid w:val="00F565F4"/>
    <w:rsid w:val="00F5698F"/>
    <w:rsid w:val="00F5753C"/>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1F59"/>
    <w:rsid w:val="00F720A2"/>
    <w:rsid w:val="00F723B8"/>
    <w:rsid w:val="00F7259B"/>
    <w:rsid w:val="00F727EB"/>
    <w:rsid w:val="00F72B7A"/>
    <w:rsid w:val="00F73075"/>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B34"/>
    <w:rsid w:val="00F77C8A"/>
    <w:rsid w:val="00F77D90"/>
    <w:rsid w:val="00F8022F"/>
    <w:rsid w:val="00F80535"/>
    <w:rsid w:val="00F80876"/>
    <w:rsid w:val="00F80E61"/>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3E8"/>
    <w:rsid w:val="00F86530"/>
    <w:rsid w:val="00F868FE"/>
    <w:rsid w:val="00F86C72"/>
    <w:rsid w:val="00F86D8B"/>
    <w:rsid w:val="00F86DA0"/>
    <w:rsid w:val="00F86E16"/>
    <w:rsid w:val="00F86E3A"/>
    <w:rsid w:val="00F870D8"/>
    <w:rsid w:val="00F874E8"/>
    <w:rsid w:val="00F875E8"/>
    <w:rsid w:val="00F876E7"/>
    <w:rsid w:val="00F8774E"/>
    <w:rsid w:val="00F877E9"/>
    <w:rsid w:val="00F87982"/>
    <w:rsid w:val="00F87F22"/>
    <w:rsid w:val="00F9011F"/>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4F"/>
    <w:rsid w:val="00FA270C"/>
    <w:rsid w:val="00FA2ADC"/>
    <w:rsid w:val="00FA2B7D"/>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44C"/>
    <w:rsid w:val="00FB4497"/>
    <w:rsid w:val="00FB45D3"/>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D82"/>
    <w:rsid w:val="00FD1E48"/>
    <w:rsid w:val="00FD21B1"/>
    <w:rsid w:val="00FD2244"/>
    <w:rsid w:val="00FD224D"/>
    <w:rsid w:val="00FD29DE"/>
    <w:rsid w:val="00FD2A48"/>
    <w:rsid w:val="00FD2A81"/>
    <w:rsid w:val="00FD2AD8"/>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497"/>
    <w:rsid w:val="00FE69C1"/>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4CB"/>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6835"/>
    <w:rsid w:val="00FF721C"/>
    <w:rsid w:val="00FF7362"/>
    <w:rsid w:val="00FF782D"/>
    <w:rsid w:val="00FF7893"/>
    <w:rsid w:val="00FF7A30"/>
    <w:rsid w:val="00FF7BA1"/>
    <w:rsid w:val="00FF7CEE"/>
    <w:rsid w:val="00FF7D22"/>
    <w:rsid w:val="01077D4E"/>
    <w:rsid w:val="010C6D82"/>
    <w:rsid w:val="01160A32"/>
    <w:rsid w:val="01191B5C"/>
    <w:rsid w:val="011B7F5E"/>
    <w:rsid w:val="011C7A92"/>
    <w:rsid w:val="012507C1"/>
    <w:rsid w:val="01277DC4"/>
    <w:rsid w:val="013D6F71"/>
    <w:rsid w:val="01410839"/>
    <w:rsid w:val="014707BD"/>
    <w:rsid w:val="014A37FE"/>
    <w:rsid w:val="01503044"/>
    <w:rsid w:val="01554CAC"/>
    <w:rsid w:val="0158367E"/>
    <w:rsid w:val="015A7A1C"/>
    <w:rsid w:val="015B4C1D"/>
    <w:rsid w:val="015B5A63"/>
    <w:rsid w:val="016347B0"/>
    <w:rsid w:val="01636D41"/>
    <w:rsid w:val="01651E70"/>
    <w:rsid w:val="01680FF9"/>
    <w:rsid w:val="01780E1F"/>
    <w:rsid w:val="0178294E"/>
    <w:rsid w:val="01792A6C"/>
    <w:rsid w:val="017A3596"/>
    <w:rsid w:val="01850077"/>
    <w:rsid w:val="018C705C"/>
    <w:rsid w:val="01903CB6"/>
    <w:rsid w:val="019261A2"/>
    <w:rsid w:val="01937BF9"/>
    <w:rsid w:val="01963534"/>
    <w:rsid w:val="01980892"/>
    <w:rsid w:val="019917FC"/>
    <w:rsid w:val="019B097A"/>
    <w:rsid w:val="01AD105E"/>
    <w:rsid w:val="01AD39F7"/>
    <w:rsid w:val="01AF459D"/>
    <w:rsid w:val="01B630B4"/>
    <w:rsid w:val="01B755B3"/>
    <w:rsid w:val="01B85CFE"/>
    <w:rsid w:val="01C47DA7"/>
    <w:rsid w:val="01CB32E2"/>
    <w:rsid w:val="01CF5D51"/>
    <w:rsid w:val="01D954AC"/>
    <w:rsid w:val="01DD36D4"/>
    <w:rsid w:val="01EC5904"/>
    <w:rsid w:val="01F36482"/>
    <w:rsid w:val="01F82D24"/>
    <w:rsid w:val="01FD51F1"/>
    <w:rsid w:val="01FE3DEF"/>
    <w:rsid w:val="020B55A3"/>
    <w:rsid w:val="020B64C6"/>
    <w:rsid w:val="020F0A53"/>
    <w:rsid w:val="0210087D"/>
    <w:rsid w:val="0213694E"/>
    <w:rsid w:val="02141CFB"/>
    <w:rsid w:val="021A525A"/>
    <w:rsid w:val="022B2308"/>
    <w:rsid w:val="0241522C"/>
    <w:rsid w:val="02450F9F"/>
    <w:rsid w:val="0245573B"/>
    <w:rsid w:val="02511A15"/>
    <w:rsid w:val="02534F28"/>
    <w:rsid w:val="0254496F"/>
    <w:rsid w:val="02570C77"/>
    <w:rsid w:val="02590ECE"/>
    <w:rsid w:val="0263075E"/>
    <w:rsid w:val="02643DBB"/>
    <w:rsid w:val="02683E5D"/>
    <w:rsid w:val="02694556"/>
    <w:rsid w:val="0272371C"/>
    <w:rsid w:val="0279141E"/>
    <w:rsid w:val="02816A16"/>
    <w:rsid w:val="02850C76"/>
    <w:rsid w:val="02881878"/>
    <w:rsid w:val="02884D22"/>
    <w:rsid w:val="02897B0D"/>
    <w:rsid w:val="028B43CF"/>
    <w:rsid w:val="028D5083"/>
    <w:rsid w:val="02911C0E"/>
    <w:rsid w:val="02923407"/>
    <w:rsid w:val="02926F66"/>
    <w:rsid w:val="0295017D"/>
    <w:rsid w:val="02980BB5"/>
    <w:rsid w:val="02B23334"/>
    <w:rsid w:val="02B86D86"/>
    <w:rsid w:val="02C346C6"/>
    <w:rsid w:val="02CB318E"/>
    <w:rsid w:val="02D837DA"/>
    <w:rsid w:val="02DC531B"/>
    <w:rsid w:val="02E5775B"/>
    <w:rsid w:val="02E60F49"/>
    <w:rsid w:val="02F75AF2"/>
    <w:rsid w:val="02F948D8"/>
    <w:rsid w:val="02FA772F"/>
    <w:rsid w:val="030628EF"/>
    <w:rsid w:val="03114BEE"/>
    <w:rsid w:val="03140137"/>
    <w:rsid w:val="03195942"/>
    <w:rsid w:val="0319759C"/>
    <w:rsid w:val="031F0D91"/>
    <w:rsid w:val="032047F5"/>
    <w:rsid w:val="032756B6"/>
    <w:rsid w:val="032979AF"/>
    <w:rsid w:val="032F14A8"/>
    <w:rsid w:val="03345E69"/>
    <w:rsid w:val="03357F1A"/>
    <w:rsid w:val="033624DF"/>
    <w:rsid w:val="03392EDF"/>
    <w:rsid w:val="033F2320"/>
    <w:rsid w:val="034075D8"/>
    <w:rsid w:val="034907B9"/>
    <w:rsid w:val="035234A9"/>
    <w:rsid w:val="0355768B"/>
    <w:rsid w:val="03590529"/>
    <w:rsid w:val="035A17B2"/>
    <w:rsid w:val="035B57DC"/>
    <w:rsid w:val="035F65BE"/>
    <w:rsid w:val="03603587"/>
    <w:rsid w:val="0364021E"/>
    <w:rsid w:val="03663A2A"/>
    <w:rsid w:val="03705764"/>
    <w:rsid w:val="03736763"/>
    <w:rsid w:val="037530A0"/>
    <w:rsid w:val="037C519C"/>
    <w:rsid w:val="03803BAB"/>
    <w:rsid w:val="03886F35"/>
    <w:rsid w:val="0389173B"/>
    <w:rsid w:val="0393532E"/>
    <w:rsid w:val="039C1F5C"/>
    <w:rsid w:val="039D171A"/>
    <w:rsid w:val="03A06A49"/>
    <w:rsid w:val="03A66738"/>
    <w:rsid w:val="03A956EE"/>
    <w:rsid w:val="03AC10D0"/>
    <w:rsid w:val="03AD28EF"/>
    <w:rsid w:val="03AD2B09"/>
    <w:rsid w:val="03B060AA"/>
    <w:rsid w:val="03B26949"/>
    <w:rsid w:val="03B60FE3"/>
    <w:rsid w:val="03C551FF"/>
    <w:rsid w:val="03CA3459"/>
    <w:rsid w:val="03CA4BC5"/>
    <w:rsid w:val="03CC4299"/>
    <w:rsid w:val="03CD42FF"/>
    <w:rsid w:val="03D05425"/>
    <w:rsid w:val="03D51167"/>
    <w:rsid w:val="03D605AE"/>
    <w:rsid w:val="03D66B30"/>
    <w:rsid w:val="03DC0A3E"/>
    <w:rsid w:val="03E8439D"/>
    <w:rsid w:val="03EA1CFF"/>
    <w:rsid w:val="03EC6659"/>
    <w:rsid w:val="03ED1A58"/>
    <w:rsid w:val="03EF11E1"/>
    <w:rsid w:val="03F15F02"/>
    <w:rsid w:val="03F22B4F"/>
    <w:rsid w:val="03F25073"/>
    <w:rsid w:val="03F44BEB"/>
    <w:rsid w:val="03FB37B1"/>
    <w:rsid w:val="04007820"/>
    <w:rsid w:val="0407149F"/>
    <w:rsid w:val="040D09A7"/>
    <w:rsid w:val="040F0473"/>
    <w:rsid w:val="04155F5B"/>
    <w:rsid w:val="04222EF0"/>
    <w:rsid w:val="04251C2B"/>
    <w:rsid w:val="042827BF"/>
    <w:rsid w:val="04282C2D"/>
    <w:rsid w:val="04343F5E"/>
    <w:rsid w:val="043B4BBE"/>
    <w:rsid w:val="0454366F"/>
    <w:rsid w:val="045B780E"/>
    <w:rsid w:val="04627DC2"/>
    <w:rsid w:val="046A75AA"/>
    <w:rsid w:val="047A7C88"/>
    <w:rsid w:val="04891255"/>
    <w:rsid w:val="048B728A"/>
    <w:rsid w:val="049452E6"/>
    <w:rsid w:val="0495530F"/>
    <w:rsid w:val="04986549"/>
    <w:rsid w:val="049E41BA"/>
    <w:rsid w:val="04A857AD"/>
    <w:rsid w:val="04AC35F7"/>
    <w:rsid w:val="04AC52FB"/>
    <w:rsid w:val="04B21B57"/>
    <w:rsid w:val="04B42B59"/>
    <w:rsid w:val="04B436BD"/>
    <w:rsid w:val="04B43CE6"/>
    <w:rsid w:val="04B603CB"/>
    <w:rsid w:val="04B972EF"/>
    <w:rsid w:val="04BD4ADC"/>
    <w:rsid w:val="04BE11AE"/>
    <w:rsid w:val="04BE6601"/>
    <w:rsid w:val="04BF2AA8"/>
    <w:rsid w:val="04CA4F9C"/>
    <w:rsid w:val="04CE1F84"/>
    <w:rsid w:val="04DF01BD"/>
    <w:rsid w:val="04E26543"/>
    <w:rsid w:val="04E82ABB"/>
    <w:rsid w:val="04EB22F3"/>
    <w:rsid w:val="04EC1FE0"/>
    <w:rsid w:val="04F271FD"/>
    <w:rsid w:val="04FD3B9E"/>
    <w:rsid w:val="05022469"/>
    <w:rsid w:val="050606B5"/>
    <w:rsid w:val="050644F4"/>
    <w:rsid w:val="050C7E97"/>
    <w:rsid w:val="0512368C"/>
    <w:rsid w:val="05190AE6"/>
    <w:rsid w:val="051B5F92"/>
    <w:rsid w:val="05273597"/>
    <w:rsid w:val="052A14E7"/>
    <w:rsid w:val="052A64E9"/>
    <w:rsid w:val="052E12E0"/>
    <w:rsid w:val="05383E7F"/>
    <w:rsid w:val="053A1C6F"/>
    <w:rsid w:val="054349B8"/>
    <w:rsid w:val="054428B5"/>
    <w:rsid w:val="054D015B"/>
    <w:rsid w:val="05501159"/>
    <w:rsid w:val="056739B7"/>
    <w:rsid w:val="05676934"/>
    <w:rsid w:val="0577733C"/>
    <w:rsid w:val="057E01D9"/>
    <w:rsid w:val="057E1ECA"/>
    <w:rsid w:val="0581625A"/>
    <w:rsid w:val="058A631A"/>
    <w:rsid w:val="05900B7A"/>
    <w:rsid w:val="05934385"/>
    <w:rsid w:val="059739B7"/>
    <w:rsid w:val="059E63EE"/>
    <w:rsid w:val="059F49ED"/>
    <w:rsid w:val="05A34495"/>
    <w:rsid w:val="05A56BB5"/>
    <w:rsid w:val="05AC3CD4"/>
    <w:rsid w:val="05AE02AC"/>
    <w:rsid w:val="05B636DA"/>
    <w:rsid w:val="05B84651"/>
    <w:rsid w:val="05C96E7C"/>
    <w:rsid w:val="05CA4822"/>
    <w:rsid w:val="05CC1FD8"/>
    <w:rsid w:val="05CF0362"/>
    <w:rsid w:val="05D02F51"/>
    <w:rsid w:val="05D10E9A"/>
    <w:rsid w:val="05D16CC5"/>
    <w:rsid w:val="05D32D84"/>
    <w:rsid w:val="05D7661F"/>
    <w:rsid w:val="05DC59BB"/>
    <w:rsid w:val="05DE4F22"/>
    <w:rsid w:val="05EF047B"/>
    <w:rsid w:val="05F141D7"/>
    <w:rsid w:val="05F20EBF"/>
    <w:rsid w:val="05F6471F"/>
    <w:rsid w:val="05FC1701"/>
    <w:rsid w:val="06085E9E"/>
    <w:rsid w:val="060E3A4E"/>
    <w:rsid w:val="06122747"/>
    <w:rsid w:val="06123C23"/>
    <w:rsid w:val="0613014E"/>
    <w:rsid w:val="06133CE2"/>
    <w:rsid w:val="0615172A"/>
    <w:rsid w:val="06216986"/>
    <w:rsid w:val="06236F2E"/>
    <w:rsid w:val="062D0004"/>
    <w:rsid w:val="062D4104"/>
    <w:rsid w:val="062F5DFD"/>
    <w:rsid w:val="063A4316"/>
    <w:rsid w:val="063F52C3"/>
    <w:rsid w:val="064245DF"/>
    <w:rsid w:val="06507810"/>
    <w:rsid w:val="06514B51"/>
    <w:rsid w:val="065238C4"/>
    <w:rsid w:val="06530185"/>
    <w:rsid w:val="06624294"/>
    <w:rsid w:val="06625EB3"/>
    <w:rsid w:val="06673381"/>
    <w:rsid w:val="066D797B"/>
    <w:rsid w:val="066F39DC"/>
    <w:rsid w:val="06706B75"/>
    <w:rsid w:val="06717404"/>
    <w:rsid w:val="06746964"/>
    <w:rsid w:val="06752370"/>
    <w:rsid w:val="06794AAC"/>
    <w:rsid w:val="06811C9D"/>
    <w:rsid w:val="06840859"/>
    <w:rsid w:val="06842305"/>
    <w:rsid w:val="06860A17"/>
    <w:rsid w:val="068B1A17"/>
    <w:rsid w:val="06926190"/>
    <w:rsid w:val="06937374"/>
    <w:rsid w:val="0695426C"/>
    <w:rsid w:val="0698000D"/>
    <w:rsid w:val="06982050"/>
    <w:rsid w:val="069E5179"/>
    <w:rsid w:val="06A27BF1"/>
    <w:rsid w:val="06A953D8"/>
    <w:rsid w:val="06A966F0"/>
    <w:rsid w:val="06AF2B54"/>
    <w:rsid w:val="06B40DB1"/>
    <w:rsid w:val="06B87B6E"/>
    <w:rsid w:val="06BC006D"/>
    <w:rsid w:val="06C06C92"/>
    <w:rsid w:val="06C50064"/>
    <w:rsid w:val="06CB0C6B"/>
    <w:rsid w:val="06CD5F42"/>
    <w:rsid w:val="06D104E8"/>
    <w:rsid w:val="06D24771"/>
    <w:rsid w:val="06D626BD"/>
    <w:rsid w:val="06FB238E"/>
    <w:rsid w:val="06FB5E52"/>
    <w:rsid w:val="06FD2173"/>
    <w:rsid w:val="06FE19B7"/>
    <w:rsid w:val="070263EC"/>
    <w:rsid w:val="070265EF"/>
    <w:rsid w:val="07054188"/>
    <w:rsid w:val="07065653"/>
    <w:rsid w:val="07086832"/>
    <w:rsid w:val="070C2A8D"/>
    <w:rsid w:val="070D3A49"/>
    <w:rsid w:val="07150861"/>
    <w:rsid w:val="072646FC"/>
    <w:rsid w:val="07265560"/>
    <w:rsid w:val="07313446"/>
    <w:rsid w:val="073315C6"/>
    <w:rsid w:val="073D1632"/>
    <w:rsid w:val="07457F2F"/>
    <w:rsid w:val="07465B85"/>
    <w:rsid w:val="07491A92"/>
    <w:rsid w:val="07644DF6"/>
    <w:rsid w:val="07656C0E"/>
    <w:rsid w:val="07663B0C"/>
    <w:rsid w:val="076765E4"/>
    <w:rsid w:val="076E73F6"/>
    <w:rsid w:val="076F0FF5"/>
    <w:rsid w:val="07700142"/>
    <w:rsid w:val="07712A85"/>
    <w:rsid w:val="07735DE3"/>
    <w:rsid w:val="07757CB6"/>
    <w:rsid w:val="077B20C4"/>
    <w:rsid w:val="07837833"/>
    <w:rsid w:val="078A2B93"/>
    <w:rsid w:val="078F3591"/>
    <w:rsid w:val="079039B5"/>
    <w:rsid w:val="079054EC"/>
    <w:rsid w:val="079473F0"/>
    <w:rsid w:val="079514D4"/>
    <w:rsid w:val="07961FBF"/>
    <w:rsid w:val="0796200B"/>
    <w:rsid w:val="079D21B1"/>
    <w:rsid w:val="079F7673"/>
    <w:rsid w:val="07A951FC"/>
    <w:rsid w:val="07AC504E"/>
    <w:rsid w:val="07B360C2"/>
    <w:rsid w:val="07B83D8D"/>
    <w:rsid w:val="07BB7D8D"/>
    <w:rsid w:val="07BC2BB5"/>
    <w:rsid w:val="07C077F2"/>
    <w:rsid w:val="07C44C77"/>
    <w:rsid w:val="07C500AE"/>
    <w:rsid w:val="07C90E92"/>
    <w:rsid w:val="07C9654C"/>
    <w:rsid w:val="07D3252E"/>
    <w:rsid w:val="07D70799"/>
    <w:rsid w:val="07D9206A"/>
    <w:rsid w:val="07DB5537"/>
    <w:rsid w:val="07DD0BD3"/>
    <w:rsid w:val="07E227F9"/>
    <w:rsid w:val="07E3391D"/>
    <w:rsid w:val="07EA2373"/>
    <w:rsid w:val="07F247A2"/>
    <w:rsid w:val="07F3763F"/>
    <w:rsid w:val="07F66E1D"/>
    <w:rsid w:val="07F74126"/>
    <w:rsid w:val="07F91FC3"/>
    <w:rsid w:val="07FE1CA4"/>
    <w:rsid w:val="08032B4F"/>
    <w:rsid w:val="08054B0A"/>
    <w:rsid w:val="08150BBB"/>
    <w:rsid w:val="0818786D"/>
    <w:rsid w:val="08190451"/>
    <w:rsid w:val="081A2BDD"/>
    <w:rsid w:val="082D340E"/>
    <w:rsid w:val="082E0F89"/>
    <w:rsid w:val="083139E2"/>
    <w:rsid w:val="08315F3E"/>
    <w:rsid w:val="0837062F"/>
    <w:rsid w:val="083808D5"/>
    <w:rsid w:val="083C5E62"/>
    <w:rsid w:val="083E2E20"/>
    <w:rsid w:val="083F0B6F"/>
    <w:rsid w:val="083F59A0"/>
    <w:rsid w:val="0840732E"/>
    <w:rsid w:val="08425301"/>
    <w:rsid w:val="0844728C"/>
    <w:rsid w:val="084B0382"/>
    <w:rsid w:val="084B6C81"/>
    <w:rsid w:val="084C4560"/>
    <w:rsid w:val="084F40CE"/>
    <w:rsid w:val="08500AB7"/>
    <w:rsid w:val="085545C9"/>
    <w:rsid w:val="08587564"/>
    <w:rsid w:val="085E6D5D"/>
    <w:rsid w:val="08625EAB"/>
    <w:rsid w:val="086A436C"/>
    <w:rsid w:val="086C5B87"/>
    <w:rsid w:val="086D204C"/>
    <w:rsid w:val="086E2DD8"/>
    <w:rsid w:val="087D5321"/>
    <w:rsid w:val="08805A69"/>
    <w:rsid w:val="08865CAF"/>
    <w:rsid w:val="08891DB0"/>
    <w:rsid w:val="0891203F"/>
    <w:rsid w:val="089C541C"/>
    <w:rsid w:val="08A059ED"/>
    <w:rsid w:val="08A12D8B"/>
    <w:rsid w:val="08A1519A"/>
    <w:rsid w:val="08A30ADD"/>
    <w:rsid w:val="08A75C2E"/>
    <w:rsid w:val="08AD2FB3"/>
    <w:rsid w:val="08AD7352"/>
    <w:rsid w:val="08AE68A9"/>
    <w:rsid w:val="08B10C46"/>
    <w:rsid w:val="08B32377"/>
    <w:rsid w:val="08BD5D0D"/>
    <w:rsid w:val="08CD267D"/>
    <w:rsid w:val="08CF26D9"/>
    <w:rsid w:val="08CF5DD6"/>
    <w:rsid w:val="08D649BB"/>
    <w:rsid w:val="08D70720"/>
    <w:rsid w:val="08DF0DF4"/>
    <w:rsid w:val="08E14ED5"/>
    <w:rsid w:val="08E36157"/>
    <w:rsid w:val="08EC080A"/>
    <w:rsid w:val="08EF3AF5"/>
    <w:rsid w:val="08F6319A"/>
    <w:rsid w:val="08F65922"/>
    <w:rsid w:val="08F65A1B"/>
    <w:rsid w:val="08FC454D"/>
    <w:rsid w:val="08FF0667"/>
    <w:rsid w:val="09011059"/>
    <w:rsid w:val="090E43AD"/>
    <w:rsid w:val="090F7698"/>
    <w:rsid w:val="091311F9"/>
    <w:rsid w:val="091E5A01"/>
    <w:rsid w:val="092267A1"/>
    <w:rsid w:val="09244BE3"/>
    <w:rsid w:val="0926052C"/>
    <w:rsid w:val="093352C8"/>
    <w:rsid w:val="09342111"/>
    <w:rsid w:val="09365298"/>
    <w:rsid w:val="09366DCC"/>
    <w:rsid w:val="093679BD"/>
    <w:rsid w:val="09472FE5"/>
    <w:rsid w:val="094A3425"/>
    <w:rsid w:val="094A7EE5"/>
    <w:rsid w:val="094B3478"/>
    <w:rsid w:val="09507343"/>
    <w:rsid w:val="09521F45"/>
    <w:rsid w:val="095B60E3"/>
    <w:rsid w:val="095F014B"/>
    <w:rsid w:val="096A138B"/>
    <w:rsid w:val="09712EB3"/>
    <w:rsid w:val="097979DC"/>
    <w:rsid w:val="097A3E1C"/>
    <w:rsid w:val="097F2F81"/>
    <w:rsid w:val="0980650D"/>
    <w:rsid w:val="09842669"/>
    <w:rsid w:val="0985518F"/>
    <w:rsid w:val="098860D1"/>
    <w:rsid w:val="098C6F4D"/>
    <w:rsid w:val="09973371"/>
    <w:rsid w:val="09A04D3F"/>
    <w:rsid w:val="09A63558"/>
    <w:rsid w:val="09A64096"/>
    <w:rsid w:val="09A72A18"/>
    <w:rsid w:val="09A867AB"/>
    <w:rsid w:val="09B72A4E"/>
    <w:rsid w:val="09C95166"/>
    <w:rsid w:val="09CB1DC7"/>
    <w:rsid w:val="09DA1C63"/>
    <w:rsid w:val="09DE297E"/>
    <w:rsid w:val="09E47073"/>
    <w:rsid w:val="09E6169E"/>
    <w:rsid w:val="09F01539"/>
    <w:rsid w:val="09FB4999"/>
    <w:rsid w:val="09FE3C6D"/>
    <w:rsid w:val="0A010082"/>
    <w:rsid w:val="0A057456"/>
    <w:rsid w:val="0A0E4637"/>
    <w:rsid w:val="0A1227F9"/>
    <w:rsid w:val="0A1433E8"/>
    <w:rsid w:val="0A1B6C32"/>
    <w:rsid w:val="0A1F043C"/>
    <w:rsid w:val="0A242606"/>
    <w:rsid w:val="0A251C2C"/>
    <w:rsid w:val="0A251C3F"/>
    <w:rsid w:val="0A2C2309"/>
    <w:rsid w:val="0A326751"/>
    <w:rsid w:val="0A3404EE"/>
    <w:rsid w:val="0A340D57"/>
    <w:rsid w:val="0A3728F9"/>
    <w:rsid w:val="0A3929BF"/>
    <w:rsid w:val="0A463584"/>
    <w:rsid w:val="0A4B759E"/>
    <w:rsid w:val="0A591B60"/>
    <w:rsid w:val="0A5D20F1"/>
    <w:rsid w:val="0A5E54BB"/>
    <w:rsid w:val="0A645DAC"/>
    <w:rsid w:val="0A695F75"/>
    <w:rsid w:val="0A7F554D"/>
    <w:rsid w:val="0A8600A7"/>
    <w:rsid w:val="0A862533"/>
    <w:rsid w:val="0A916F1C"/>
    <w:rsid w:val="0AA55846"/>
    <w:rsid w:val="0AAB733F"/>
    <w:rsid w:val="0ABA06F0"/>
    <w:rsid w:val="0ABE7BB8"/>
    <w:rsid w:val="0AC42A22"/>
    <w:rsid w:val="0AC977B5"/>
    <w:rsid w:val="0ACE52DC"/>
    <w:rsid w:val="0AD0057A"/>
    <w:rsid w:val="0AE27C3A"/>
    <w:rsid w:val="0AE46BC4"/>
    <w:rsid w:val="0AF050D9"/>
    <w:rsid w:val="0AFA0E95"/>
    <w:rsid w:val="0B0458A8"/>
    <w:rsid w:val="0B047716"/>
    <w:rsid w:val="0B0D4D27"/>
    <w:rsid w:val="0B0E7577"/>
    <w:rsid w:val="0B1105A4"/>
    <w:rsid w:val="0B157097"/>
    <w:rsid w:val="0B261605"/>
    <w:rsid w:val="0B2F35EC"/>
    <w:rsid w:val="0B3D6687"/>
    <w:rsid w:val="0B4A721E"/>
    <w:rsid w:val="0B4E0ED0"/>
    <w:rsid w:val="0B552039"/>
    <w:rsid w:val="0B5A33DD"/>
    <w:rsid w:val="0B5D462C"/>
    <w:rsid w:val="0B617682"/>
    <w:rsid w:val="0B704916"/>
    <w:rsid w:val="0B711688"/>
    <w:rsid w:val="0B761633"/>
    <w:rsid w:val="0B78261E"/>
    <w:rsid w:val="0B7C285B"/>
    <w:rsid w:val="0B7D3E3B"/>
    <w:rsid w:val="0B86257D"/>
    <w:rsid w:val="0B8F19FD"/>
    <w:rsid w:val="0B952CB4"/>
    <w:rsid w:val="0B976414"/>
    <w:rsid w:val="0B9B42F5"/>
    <w:rsid w:val="0B9C6FAC"/>
    <w:rsid w:val="0BA00657"/>
    <w:rsid w:val="0BA0509A"/>
    <w:rsid w:val="0BA25C3F"/>
    <w:rsid w:val="0BAE3EB4"/>
    <w:rsid w:val="0BC74117"/>
    <w:rsid w:val="0BCB58F1"/>
    <w:rsid w:val="0BCF4FC3"/>
    <w:rsid w:val="0BD74D8F"/>
    <w:rsid w:val="0BDC44F0"/>
    <w:rsid w:val="0BE80418"/>
    <w:rsid w:val="0BEF3011"/>
    <w:rsid w:val="0BF52A54"/>
    <w:rsid w:val="0BFC77DA"/>
    <w:rsid w:val="0BFE7534"/>
    <w:rsid w:val="0BFF068D"/>
    <w:rsid w:val="0C041A0E"/>
    <w:rsid w:val="0C0462D1"/>
    <w:rsid w:val="0C0A52DD"/>
    <w:rsid w:val="0C0A5A8E"/>
    <w:rsid w:val="0C0F332D"/>
    <w:rsid w:val="0C115A42"/>
    <w:rsid w:val="0C117D66"/>
    <w:rsid w:val="0C187D62"/>
    <w:rsid w:val="0C1C16ED"/>
    <w:rsid w:val="0C300595"/>
    <w:rsid w:val="0C315A08"/>
    <w:rsid w:val="0C3500D1"/>
    <w:rsid w:val="0C35515A"/>
    <w:rsid w:val="0C383DCB"/>
    <w:rsid w:val="0C3E1571"/>
    <w:rsid w:val="0C46759B"/>
    <w:rsid w:val="0C47183B"/>
    <w:rsid w:val="0C4852B3"/>
    <w:rsid w:val="0C4B5125"/>
    <w:rsid w:val="0C55338F"/>
    <w:rsid w:val="0C581814"/>
    <w:rsid w:val="0C5E7113"/>
    <w:rsid w:val="0C630806"/>
    <w:rsid w:val="0C6F5539"/>
    <w:rsid w:val="0C7E6BBF"/>
    <w:rsid w:val="0C813BB4"/>
    <w:rsid w:val="0C865FB7"/>
    <w:rsid w:val="0C903FE4"/>
    <w:rsid w:val="0C950CBF"/>
    <w:rsid w:val="0C9F7471"/>
    <w:rsid w:val="0CAA3CFE"/>
    <w:rsid w:val="0CB1270B"/>
    <w:rsid w:val="0CB30221"/>
    <w:rsid w:val="0CB65569"/>
    <w:rsid w:val="0CBB75F6"/>
    <w:rsid w:val="0CBD6B46"/>
    <w:rsid w:val="0CBD7078"/>
    <w:rsid w:val="0CC13514"/>
    <w:rsid w:val="0CD86F88"/>
    <w:rsid w:val="0CD957AA"/>
    <w:rsid w:val="0CE0507C"/>
    <w:rsid w:val="0CEA4634"/>
    <w:rsid w:val="0CEC488F"/>
    <w:rsid w:val="0CEE1332"/>
    <w:rsid w:val="0CF175F3"/>
    <w:rsid w:val="0CF3195D"/>
    <w:rsid w:val="0CF34253"/>
    <w:rsid w:val="0CFA75AC"/>
    <w:rsid w:val="0D11788B"/>
    <w:rsid w:val="0D146850"/>
    <w:rsid w:val="0D1727FB"/>
    <w:rsid w:val="0D190D03"/>
    <w:rsid w:val="0D1950F7"/>
    <w:rsid w:val="0D19782D"/>
    <w:rsid w:val="0D1C716E"/>
    <w:rsid w:val="0D2B70E1"/>
    <w:rsid w:val="0D2C0579"/>
    <w:rsid w:val="0D2C6DB5"/>
    <w:rsid w:val="0D312381"/>
    <w:rsid w:val="0D3166A2"/>
    <w:rsid w:val="0D344E5C"/>
    <w:rsid w:val="0D3825BE"/>
    <w:rsid w:val="0D394518"/>
    <w:rsid w:val="0D406F28"/>
    <w:rsid w:val="0D4111C4"/>
    <w:rsid w:val="0D416FDD"/>
    <w:rsid w:val="0D507F99"/>
    <w:rsid w:val="0D5D0D59"/>
    <w:rsid w:val="0D5D462A"/>
    <w:rsid w:val="0D652B72"/>
    <w:rsid w:val="0D6D02D2"/>
    <w:rsid w:val="0D6E5110"/>
    <w:rsid w:val="0D6E6D10"/>
    <w:rsid w:val="0D704C8F"/>
    <w:rsid w:val="0D715DE4"/>
    <w:rsid w:val="0D7466F5"/>
    <w:rsid w:val="0D782183"/>
    <w:rsid w:val="0D7C190F"/>
    <w:rsid w:val="0D85738D"/>
    <w:rsid w:val="0D8D594E"/>
    <w:rsid w:val="0D8F5055"/>
    <w:rsid w:val="0D982389"/>
    <w:rsid w:val="0D9B564C"/>
    <w:rsid w:val="0DA05989"/>
    <w:rsid w:val="0DA1493A"/>
    <w:rsid w:val="0DA401E1"/>
    <w:rsid w:val="0DA97E34"/>
    <w:rsid w:val="0DB14EC8"/>
    <w:rsid w:val="0DB60E4A"/>
    <w:rsid w:val="0DB6344F"/>
    <w:rsid w:val="0DB95D9A"/>
    <w:rsid w:val="0DBA499B"/>
    <w:rsid w:val="0DC91E9A"/>
    <w:rsid w:val="0DCB4C6E"/>
    <w:rsid w:val="0DCC1B28"/>
    <w:rsid w:val="0DCD0F94"/>
    <w:rsid w:val="0DD14348"/>
    <w:rsid w:val="0DD14549"/>
    <w:rsid w:val="0DD83E1B"/>
    <w:rsid w:val="0DED2D4D"/>
    <w:rsid w:val="0DF144F2"/>
    <w:rsid w:val="0DF153A1"/>
    <w:rsid w:val="0DF363EA"/>
    <w:rsid w:val="0DF501D1"/>
    <w:rsid w:val="0DF725ED"/>
    <w:rsid w:val="0DF92513"/>
    <w:rsid w:val="0DFE5A4B"/>
    <w:rsid w:val="0DFE636C"/>
    <w:rsid w:val="0E014A95"/>
    <w:rsid w:val="0E02670A"/>
    <w:rsid w:val="0E050509"/>
    <w:rsid w:val="0E0840DF"/>
    <w:rsid w:val="0E0D21D0"/>
    <w:rsid w:val="0E106B58"/>
    <w:rsid w:val="0E154272"/>
    <w:rsid w:val="0E19514C"/>
    <w:rsid w:val="0E1A4839"/>
    <w:rsid w:val="0E1A508A"/>
    <w:rsid w:val="0E1E7932"/>
    <w:rsid w:val="0E1F3922"/>
    <w:rsid w:val="0E1F6EA5"/>
    <w:rsid w:val="0E21445D"/>
    <w:rsid w:val="0E23610B"/>
    <w:rsid w:val="0E2437F3"/>
    <w:rsid w:val="0E27667C"/>
    <w:rsid w:val="0E2C67A2"/>
    <w:rsid w:val="0E325A6D"/>
    <w:rsid w:val="0E366F09"/>
    <w:rsid w:val="0E3A0BBD"/>
    <w:rsid w:val="0E3E5814"/>
    <w:rsid w:val="0E406B32"/>
    <w:rsid w:val="0E487752"/>
    <w:rsid w:val="0E4A02FE"/>
    <w:rsid w:val="0E514607"/>
    <w:rsid w:val="0E595800"/>
    <w:rsid w:val="0E640EEC"/>
    <w:rsid w:val="0E646C4C"/>
    <w:rsid w:val="0E655187"/>
    <w:rsid w:val="0E6B0F1B"/>
    <w:rsid w:val="0E7027C1"/>
    <w:rsid w:val="0E716CB0"/>
    <w:rsid w:val="0E751C14"/>
    <w:rsid w:val="0E7661DD"/>
    <w:rsid w:val="0E792BCB"/>
    <w:rsid w:val="0E7A2149"/>
    <w:rsid w:val="0E7E6AB4"/>
    <w:rsid w:val="0E817C0D"/>
    <w:rsid w:val="0E8A5032"/>
    <w:rsid w:val="0E9D1C81"/>
    <w:rsid w:val="0EA13C56"/>
    <w:rsid w:val="0EAA7CFD"/>
    <w:rsid w:val="0EAE2563"/>
    <w:rsid w:val="0EAE3E2D"/>
    <w:rsid w:val="0EB3137D"/>
    <w:rsid w:val="0EB318DE"/>
    <w:rsid w:val="0EB84AB6"/>
    <w:rsid w:val="0EB976EC"/>
    <w:rsid w:val="0EC23165"/>
    <w:rsid w:val="0EC4122E"/>
    <w:rsid w:val="0ECB3E7A"/>
    <w:rsid w:val="0ECF019C"/>
    <w:rsid w:val="0ED24AE3"/>
    <w:rsid w:val="0ED608FC"/>
    <w:rsid w:val="0ED8044D"/>
    <w:rsid w:val="0ED81E6C"/>
    <w:rsid w:val="0ED96555"/>
    <w:rsid w:val="0EDC64AF"/>
    <w:rsid w:val="0EE373BE"/>
    <w:rsid w:val="0EE54EBA"/>
    <w:rsid w:val="0EE64FAF"/>
    <w:rsid w:val="0EE67E9D"/>
    <w:rsid w:val="0EEE1194"/>
    <w:rsid w:val="0EFC31D5"/>
    <w:rsid w:val="0F0578F0"/>
    <w:rsid w:val="0F120AD5"/>
    <w:rsid w:val="0F156B37"/>
    <w:rsid w:val="0F1A25AC"/>
    <w:rsid w:val="0F1A742F"/>
    <w:rsid w:val="0F1B7C8B"/>
    <w:rsid w:val="0F2711B4"/>
    <w:rsid w:val="0F3149D0"/>
    <w:rsid w:val="0F3331C4"/>
    <w:rsid w:val="0F3379C5"/>
    <w:rsid w:val="0F392512"/>
    <w:rsid w:val="0F446DA2"/>
    <w:rsid w:val="0F663202"/>
    <w:rsid w:val="0F6A0E23"/>
    <w:rsid w:val="0F6D033A"/>
    <w:rsid w:val="0F701348"/>
    <w:rsid w:val="0F720355"/>
    <w:rsid w:val="0F753717"/>
    <w:rsid w:val="0F7859C0"/>
    <w:rsid w:val="0F7B0F67"/>
    <w:rsid w:val="0F7B24DB"/>
    <w:rsid w:val="0F7B41CA"/>
    <w:rsid w:val="0F8A61EE"/>
    <w:rsid w:val="0F8B0523"/>
    <w:rsid w:val="0F8B64A8"/>
    <w:rsid w:val="0F8B6A7D"/>
    <w:rsid w:val="0FA24896"/>
    <w:rsid w:val="0FA51830"/>
    <w:rsid w:val="0FB14C64"/>
    <w:rsid w:val="0FB4699C"/>
    <w:rsid w:val="0FBA15CB"/>
    <w:rsid w:val="0FBA48F2"/>
    <w:rsid w:val="0FBA74FE"/>
    <w:rsid w:val="0FC47113"/>
    <w:rsid w:val="0FC51A02"/>
    <w:rsid w:val="0FC6018D"/>
    <w:rsid w:val="0FCD3797"/>
    <w:rsid w:val="0FCE732A"/>
    <w:rsid w:val="0FD53CC0"/>
    <w:rsid w:val="0FF06333"/>
    <w:rsid w:val="0FF7745B"/>
    <w:rsid w:val="0FF91639"/>
    <w:rsid w:val="0FF960E9"/>
    <w:rsid w:val="0FFB0FDB"/>
    <w:rsid w:val="0FFE7C12"/>
    <w:rsid w:val="100068DB"/>
    <w:rsid w:val="101236D8"/>
    <w:rsid w:val="10126E1C"/>
    <w:rsid w:val="101A1193"/>
    <w:rsid w:val="101E7B10"/>
    <w:rsid w:val="10241F33"/>
    <w:rsid w:val="102A4A5B"/>
    <w:rsid w:val="102B1EF4"/>
    <w:rsid w:val="102E4206"/>
    <w:rsid w:val="10313FCD"/>
    <w:rsid w:val="10320EE0"/>
    <w:rsid w:val="103379B0"/>
    <w:rsid w:val="103447BE"/>
    <w:rsid w:val="1034782C"/>
    <w:rsid w:val="10351C51"/>
    <w:rsid w:val="103866AA"/>
    <w:rsid w:val="10440AE6"/>
    <w:rsid w:val="104A10B2"/>
    <w:rsid w:val="104B28C2"/>
    <w:rsid w:val="10532C49"/>
    <w:rsid w:val="105A1DD0"/>
    <w:rsid w:val="10611403"/>
    <w:rsid w:val="106610B4"/>
    <w:rsid w:val="106A4DA6"/>
    <w:rsid w:val="106F5E49"/>
    <w:rsid w:val="106F7A8C"/>
    <w:rsid w:val="107113A6"/>
    <w:rsid w:val="107412B4"/>
    <w:rsid w:val="107639F8"/>
    <w:rsid w:val="10774D06"/>
    <w:rsid w:val="10797D1C"/>
    <w:rsid w:val="10824C00"/>
    <w:rsid w:val="1091145E"/>
    <w:rsid w:val="1097179B"/>
    <w:rsid w:val="109A0FDB"/>
    <w:rsid w:val="10A20AD4"/>
    <w:rsid w:val="10A250B8"/>
    <w:rsid w:val="10A512A0"/>
    <w:rsid w:val="10A52D32"/>
    <w:rsid w:val="10A60246"/>
    <w:rsid w:val="10A653C7"/>
    <w:rsid w:val="10AE0EDE"/>
    <w:rsid w:val="10B167FB"/>
    <w:rsid w:val="10B25871"/>
    <w:rsid w:val="10B4052B"/>
    <w:rsid w:val="10B76FB0"/>
    <w:rsid w:val="10BD426F"/>
    <w:rsid w:val="10C34777"/>
    <w:rsid w:val="10C36DE5"/>
    <w:rsid w:val="10C423EF"/>
    <w:rsid w:val="10D3047E"/>
    <w:rsid w:val="10D841BB"/>
    <w:rsid w:val="10DA1C55"/>
    <w:rsid w:val="10E03205"/>
    <w:rsid w:val="10E06AE2"/>
    <w:rsid w:val="10F84FB6"/>
    <w:rsid w:val="10FE148A"/>
    <w:rsid w:val="110932AA"/>
    <w:rsid w:val="110972A6"/>
    <w:rsid w:val="110C189E"/>
    <w:rsid w:val="110C723D"/>
    <w:rsid w:val="110D3351"/>
    <w:rsid w:val="110D45FD"/>
    <w:rsid w:val="11122F2D"/>
    <w:rsid w:val="11181CFA"/>
    <w:rsid w:val="111F75D0"/>
    <w:rsid w:val="11217B13"/>
    <w:rsid w:val="11264AF9"/>
    <w:rsid w:val="112B1ABD"/>
    <w:rsid w:val="113127C1"/>
    <w:rsid w:val="11323E6A"/>
    <w:rsid w:val="11324352"/>
    <w:rsid w:val="113332EC"/>
    <w:rsid w:val="11345BB0"/>
    <w:rsid w:val="11376EA3"/>
    <w:rsid w:val="113F452E"/>
    <w:rsid w:val="114326DF"/>
    <w:rsid w:val="11432A06"/>
    <w:rsid w:val="11444283"/>
    <w:rsid w:val="11473FFB"/>
    <w:rsid w:val="11475E35"/>
    <w:rsid w:val="114F16D2"/>
    <w:rsid w:val="114F30A9"/>
    <w:rsid w:val="115350B6"/>
    <w:rsid w:val="11561409"/>
    <w:rsid w:val="11683084"/>
    <w:rsid w:val="116976C7"/>
    <w:rsid w:val="116F5A47"/>
    <w:rsid w:val="11704DAD"/>
    <w:rsid w:val="11712BC3"/>
    <w:rsid w:val="11730FF1"/>
    <w:rsid w:val="117616E4"/>
    <w:rsid w:val="1182106E"/>
    <w:rsid w:val="1186134B"/>
    <w:rsid w:val="118A2800"/>
    <w:rsid w:val="119C3796"/>
    <w:rsid w:val="11A04A30"/>
    <w:rsid w:val="11B114E4"/>
    <w:rsid w:val="11B53347"/>
    <w:rsid w:val="11B67CCC"/>
    <w:rsid w:val="11BE5040"/>
    <w:rsid w:val="11CD595B"/>
    <w:rsid w:val="11CE6176"/>
    <w:rsid w:val="11D8315E"/>
    <w:rsid w:val="11E04795"/>
    <w:rsid w:val="11E170B3"/>
    <w:rsid w:val="11E93C0C"/>
    <w:rsid w:val="11EA1980"/>
    <w:rsid w:val="11EA20F9"/>
    <w:rsid w:val="11EE1AD1"/>
    <w:rsid w:val="11F1443B"/>
    <w:rsid w:val="11F6092A"/>
    <w:rsid w:val="11FB33DA"/>
    <w:rsid w:val="11FD7A77"/>
    <w:rsid w:val="11FE4208"/>
    <w:rsid w:val="11FE4DF6"/>
    <w:rsid w:val="11FE60F5"/>
    <w:rsid w:val="12125791"/>
    <w:rsid w:val="12166DD4"/>
    <w:rsid w:val="121A496B"/>
    <w:rsid w:val="121B5CF0"/>
    <w:rsid w:val="12254FD7"/>
    <w:rsid w:val="122772E1"/>
    <w:rsid w:val="12310EF8"/>
    <w:rsid w:val="1234470C"/>
    <w:rsid w:val="123A6DD8"/>
    <w:rsid w:val="123D7968"/>
    <w:rsid w:val="124374F6"/>
    <w:rsid w:val="124C7EBD"/>
    <w:rsid w:val="1256078B"/>
    <w:rsid w:val="125663B7"/>
    <w:rsid w:val="12567FC6"/>
    <w:rsid w:val="12575182"/>
    <w:rsid w:val="125D1820"/>
    <w:rsid w:val="125E3E51"/>
    <w:rsid w:val="125E48DC"/>
    <w:rsid w:val="12620B02"/>
    <w:rsid w:val="12656968"/>
    <w:rsid w:val="126A4519"/>
    <w:rsid w:val="126E50B5"/>
    <w:rsid w:val="12724B80"/>
    <w:rsid w:val="12726C8D"/>
    <w:rsid w:val="12733898"/>
    <w:rsid w:val="127A6800"/>
    <w:rsid w:val="127C4F1A"/>
    <w:rsid w:val="127E41D7"/>
    <w:rsid w:val="1289393C"/>
    <w:rsid w:val="128B01B8"/>
    <w:rsid w:val="128B2AB4"/>
    <w:rsid w:val="129277BA"/>
    <w:rsid w:val="12A978E6"/>
    <w:rsid w:val="12AA3A3A"/>
    <w:rsid w:val="12AF45B4"/>
    <w:rsid w:val="12B05001"/>
    <w:rsid w:val="12B1542D"/>
    <w:rsid w:val="12B86AB5"/>
    <w:rsid w:val="12C04DC8"/>
    <w:rsid w:val="12C527F8"/>
    <w:rsid w:val="12C67CAA"/>
    <w:rsid w:val="12C903E1"/>
    <w:rsid w:val="12C9556F"/>
    <w:rsid w:val="12D0238F"/>
    <w:rsid w:val="12D86BC4"/>
    <w:rsid w:val="12D86D93"/>
    <w:rsid w:val="12DC6F05"/>
    <w:rsid w:val="12E26A09"/>
    <w:rsid w:val="12EB290C"/>
    <w:rsid w:val="12EB36AF"/>
    <w:rsid w:val="12EC61B0"/>
    <w:rsid w:val="12F667CD"/>
    <w:rsid w:val="12FD367F"/>
    <w:rsid w:val="12FD3C15"/>
    <w:rsid w:val="13055E8B"/>
    <w:rsid w:val="13074BED"/>
    <w:rsid w:val="131439C5"/>
    <w:rsid w:val="13167DBD"/>
    <w:rsid w:val="131A776B"/>
    <w:rsid w:val="131C4BE9"/>
    <w:rsid w:val="131C5B5B"/>
    <w:rsid w:val="131D37F7"/>
    <w:rsid w:val="131F06D9"/>
    <w:rsid w:val="13214CF1"/>
    <w:rsid w:val="13251A5C"/>
    <w:rsid w:val="132C1BD4"/>
    <w:rsid w:val="1330793A"/>
    <w:rsid w:val="13395893"/>
    <w:rsid w:val="134D0C34"/>
    <w:rsid w:val="134E4423"/>
    <w:rsid w:val="13562D13"/>
    <w:rsid w:val="1359437E"/>
    <w:rsid w:val="135B2415"/>
    <w:rsid w:val="1369663C"/>
    <w:rsid w:val="136B195A"/>
    <w:rsid w:val="136F1518"/>
    <w:rsid w:val="136F311A"/>
    <w:rsid w:val="137143D8"/>
    <w:rsid w:val="13785DF8"/>
    <w:rsid w:val="137A5DBD"/>
    <w:rsid w:val="137C5854"/>
    <w:rsid w:val="137E02B6"/>
    <w:rsid w:val="138704DF"/>
    <w:rsid w:val="13902FDD"/>
    <w:rsid w:val="13926ADA"/>
    <w:rsid w:val="13AD64C6"/>
    <w:rsid w:val="13B52753"/>
    <w:rsid w:val="13B76905"/>
    <w:rsid w:val="13B775DD"/>
    <w:rsid w:val="13C7078B"/>
    <w:rsid w:val="13CA7ABE"/>
    <w:rsid w:val="13D13798"/>
    <w:rsid w:val="13D54736"/>
    <w:rsid w:val="13D84D40"/>
    <w:rsid w:val="13D87FBC"/>
    <w:rsid w:val="13E12ED6"/>
    <w:rsid w:val="13E70E55"/>
    <w:rsid w:val="13ED1AEF"/>
    <w:rsid w:val="13F17D74"/>
    <w:rsid w:val="13F23119"/>
    <w:rsid w:val="13F520E8"/>
    <w:rsid w:val="13F93156"/>
    <w:rsid w:val="13FB1E0C"/>
    <w:rsid w:val="140322BC"/>
    <w:rsid w:val="14075948"/>
    <w:rsid w:val="140860AF"/>
    <w:rsid w:val="140A3057"/>
    <w:rsid w:val="14121C02"/>
    <w:rsid w:val="14133404"/>
    <w:rsid w:val="141472F4"/>
    <w:rsid w:val="141662D5"/>
    <w:rsid w:val="14173183"/>
    <w:rsid w:val="142315B8"/>
    <w:rsid w:val="1424397E"/>
    <w:rsid w:val="142600C5"/>
    <w:rsid w:val="142A1334"/>
    <w:rsid w:val="142B198B"/>
    <w:rsid w:val="142D6E3A"/>
    <w:rsid w:val="14306430"/>
    <w:rsid w:val="14341BF9"/>
    <w:rsid w:val="143760E2"/>
    <w:rsid w:val="143C4416"/>
    <w:rsid w:val="144C208D"/>
    <w:rsid w:val="144F0B3A"/>
    <w:rsid w:val="14526B1D"/>
    <w:rsid w:val="145E5731"/>
    <w:rsid w:val="14672BDA"/>
    <w:rsid w:val="14711409"/>
    <w:rsid w:val="14766535"/>
    <w:rsid w:val="147B3397"/>
    <w:rsid w:val="147E4BC8"/>
    <w:rsid w:val="1480592A"/>
    <w:rsid w:val="14810960"/>
    <w:rsid w:val="1481172E"/>
    <w:rsid w:val="148422F7"/>
    <w:rsid w:val="148424EC"/>
    <w:rsid w:val="148D1C78"/>
    <w:rsid w:val="14921624"/>
    <w:rsid w:val="149554BD"/>
    <w:rsid w:val="14A274B1"/>
    <w:rsid w:val="14AA358A"/>
    <w:rsid w:val="14AB1DF6"/>
    <w:rsid w:val="14AB2ABF"/>
    <w:rsid w:val="14B61746"/>
    <w:rsid w:val="14B6345C"/>
    <w:rsid w:val="14BE0D0E"/>
    <w:rsid w:val="14D12596"/>
    <w:rsid w:val="14D577BC"/>
    <w:rsid w:val="14E462CA"/>
    <w:rsid w:val="14F06F7F"/>
    <w:rsid w:val="14F17C95"/>
    <w:rsid w:val="14F21BB5"/>
    <w:rsid w:val="15012165"/>
    <w:rsid w:val="150232BC"/>
    <w:rsid w:val="15055A95"/>
    <w:rsid w:val="15057E33"/>
    <w:rsid w:val="15064C7B"/>
    <w:rsid w:val="150814D5"/>
    <w:rsid w:val="15085C3A"/>
    <w:rsid w:val="15092DC4"/>
    <w:rsid w:val="15125F0F"/>
    <w:rsid w:val="1514212E"/>
    <w:rsid w:val="151808E5"/>
    <w:rsid w:val="15196794"/>
    <w:rsid w:val="15231690"/>
    <w:rsid w:val="152862B7"/>
    <w:rsid w:val="152B69D5"/>
    <w:rsid w:val="153932B2"/>
    <w:rsid w:val="153C47D7"/>
    <w:rsid w:val="1542596D"/>
    <w:rsid w:val="154C60B5"/>
    <w:rsid w:val="154F724C"/>
    <w:rsid w:val="155661AF"/>
    <w:rsid w:val="155B43D0"/>
    <w:rsid w:val="155E63CC"/>
    <w:rsid w:val="15612071"/>
    <w:rsid w:val="15634FEB"/>
    <w:rsid w:val="156B4A83"/>
    <w:rsid w:val="156E022A"/>
    <w:rsid w:val="156F2065"/>
    <w:rsid w:val="157155C2"/>
    <w:rsid w:val="15723159"/>
    <w:rsid w:val="15732B39"/>
    <w:rsid w:val="158234C3"/>
    <w:rsid w:val="15880784"/>
    <w:rsid w:val="158E4A3D"/>
    <w:rsid w:val="1591795E"/>
    <w:rsid w:val="159806B6"/>
    <w:rsid w:val="159C15B9"/>
    <w:rsid w:val="15A14E9D"/>
    <w:rsid w:val="15A35618"/>
    <w:rsid w:val="15A91215"/>
    <w:rsid w:val="15A938BE"/>
    <w:rsid w:val="15AD548D"/>
    <w:rsid w:val="15B27B58"/>
    <w:rsid w:val="15B43BFD"/>
    <w:rsid w:val="15BA6D1B"/>
    <w:rsid w:val="15BD1CB8"/>
    <w:rsid w:val="15C2442B"/>
    <w:rsid w:val="15C2698A"/>
    <w:rsid w:val="15CF7B5F"/>
    <w:rsid w:val="15D660B5"/>
    <w:rsid w:val="15DE16FF"/>
    <w:rsid w:val="15E4796F"/>
    <w:rsid w:val="15E97D8B"/>
    <w:rsid w:val="15F30912"/>
    <w:rsid w:val="15F47171"/>
    <w:rsid w:val="15F62412"/>
    <w:rsid w:val="15F7661D"/>
    <w:rsid w:val="15F7796F"/>
    <w:rsid w:val="15F93B3D"/>
    <w:rsid w:val="15FC3BF1"/>
    <w:rsid w:val="15FF2640"/>
    <w:rsid w:val="15FF5EF9"/>
    <w:rsid w:val="16007C02"/>
    <w:rsid w:val="1602232A"/>
    <w:rsid w:val="16051FDC"/>
    <w:rsid w:val="1607235F"/>
    <w:rsid w:val="1607316E"/>
    <w:rsid w:val="1608100D"/>
    <w:rsid w:val="1608316A"/>
    <w:rsid w:val="160B6225"/>
    <w:rsid w:val="160C6AAA"/>
    <w:rsid w:val="16131FF3"/>
    <w:rsid w:val="16136961"/>
    <w:rsid w:val="16155B10"/>
    <w:rsid w:val="16157657"/>
    <w:rsid w:val="161A1284"/>
    <w:rsid w:val="162146AC"/>
    <w:rsid w:val="16273BB0"/>
    <w:rsid w:val="16273FB8"/>
    <w:rsid w:val="16281E46"/>
    <w:rsid w:val="163C495D"/>
    <w:rsid w:val="1640665E"/>
    <w:rsid w:val="16451889"/>
    <w:rsid w:val="165607D3"/>
    <w:rsid w:val="165771D3"/>
    <w:rsid w:val="165E78B2"/>
    <w:rsid w:val="16645125"/>
    <w:rsid w:val="16647C49"/>
    <w:rsid w:val="166530A8"/>
    <w:rsid w:val="166B1337"/>
    <w:rsid w:val="1678525F"/>
    <w:rsid w:val="167D5D65"/>
    <w:rsid w:val="16802614"/>
    <w:rsid w:val="16824DF7"/>
    <w:rsid w:val="168C4FF2"/>
    <w:rsid w:val="168D1235"/>
    <w:rsid w:val="16916A90"/>
    <w:rsid w:val="169645A6"/>
    <w:rsid w:val="16A5388D"/>
    <w:rsid w:val="16AB2778"/>
    <w:rsid w:val="16AE22EF"/>
    <w:rsid w:val="16B8205D"/>
    <w:rsid w:val="16B82AD2"/>
    <w:rsid w:val="16BE39E9"/>
    <w:rsid w:val="16C2677A"/>
    <w:rsid w:val="16C42ADD"/>
    <w:rsid w:val="16CA31CF"/>
    <w:rsid w:val="16CF691E"/>
    <w:rsid w:val="16D060CB"/>
    <w:rsid w:val="16D30304"/>
    <w:rsid w:val="16E01545"/>
    <w:rsid w:val="16F3135D"/>
    <w:rsid w:val="16F97BDE"/>
    <w:rsid w:val="17010D6F"/>
    <w:rsid w:val="17054D2B"/>
    <w:rsid w:val="170B3A5D"/>
    <w:rsid w:val="170E038E"/>
    <w:rsid w:val="170F23D8"/>
    <w:rsid w:val="17110BD6"/>
    <w:rsid w:val="1712540E"/>
    <w:rsid w:val="17143A90"/>
    <w:rsid w:val="17167592"/>
    <w:rsid w:val="1718668E"/>
    <w:rsid w:val="172130EF"/>
    <w:rsid w:val="172F739B"/>
    <w:rsid w:val="173275C7"/>
    <w:rsid w:val="173710F4"/>
    <w:rsid w:val="1739698C"/>
    <w:rsid w:val="174539AC"/>
    <w:rsid w:val="174A435B"/>
    <w:rsid w:val="174A616B"/>
    <w:rsid w:val="175144B2"/>
    <w:rsid w:val="17584065"/>
    <w:rsid w:val="17584813"/>
    <w:rsid w:val="1764777F"/>
    <w:rsid w:val="17705825"/>
    <w:rsid w:val="177A5D59"/>
    <w:rsid w:val="177B1C2D"/>
    <w:rsid w:val="177B3BA5"/>
    <w:rsid w:val="17812CD1"/>
    <w:rsid w:val="17826C1F"/>
    <w:rsid w:val="17941A70"/>
    <w:rsid w:val="17946177"/>
    <w:rsid w:val="1795303C"/>
    <w:rsid w:val="17995B87"/>
    <w:rsid w:val="179C7379"/>
    <w:rsid w:val="179D4931"/>
    <w:rsid w:val="17A47D9B"/>
    <w:rsid w:val="17AA7DD5"/>
    <w:rsid w:val="17AC24B0"/>
    <w:rsid w:val="17B70D41"/>
    <w:rsid w:val="17B833FA"/>
    <w:rsid w:val="17C20E1B"/>
    <w:rsid w:val="17C64186"/>
    <w:rsid w:val="17C82B07"/>
    <w:rsid w:val="17CC145D"/>
    <w:rsid w:val="17CC2A6C"/>
    <w:rsid w:val="17CC643A"/>
    <w:rsid w:val="17CE4992"/>
    <w:rsid w:val="17D13E2D"/>
    <w:rsid w:val="17D409E1"/>
    <w:rsid w:val="17D80A06"/>
    <w:rsid w:val="17DD6FB9"/>
    <w:rsid w:val="17E50CD9"/>
    <w:rsid w:val="17F25D18"/>
    <w:rsid w:val="17F322B2"/>
    <w:rsid w:val="17F742B6"/>
    <w:rsid w:val="17FA033C"/>
    <w:rsid w:val="17FB62B0"/>
    <w:rsid w:val="1801398E"/>
    <w:rsid w:val="1804167E"/>
    <w:rsid w:val="180567E8"/>
    <w:rsid w:val="18062279"/>
    <w:rsid w:val="180B67D5"/>
    <w:rsid w:val="18136E70"/>
    <w:rsid w:val="18175E2B"/>
    <w:rsid w:val="181C5228"/>
    <w:rsid w:val="18226EDE"/>
    <w:rsid w:val="18245107"/>
    <w:rsid w:val="18342A3B"/>
    <w:rsid w:val="18343729"/>
    <w:rsid w:val="18344AFE"/>
    <w:rsid w:val="18534C5C"/>
    <w:rsid w:val="185433BD"/>
    <w:rsid w:val="185B3389"/>
    <w:rsid w:val="185B62F4"/>
    <w:rsid w:val="185B7CD9"/>
    <w:rsid w:val="18607E5A"/>
    <w:rsid w:val="1865608A"/>
    <w:rsid w:val="18661FBD"/>
    <w:rsid w:val="1866750B"/>
    <w:rsid w:val="186A4295"/>
    <w:rsid w:val="186B3879"/>
    <w:rsid w:val="186E02A8"/>
    <w:rsid w:val="186F4FB5"/>
    <w:rsid w:val="187479FA"/>
    <w:rsid w:val="1879383C"/>
    <w:rsid w:val="1891192D"/>
    <w:rsid w:val="189441BD"/>
    <w:rsid w:val="189D247A"/>
    <w:rsid w:val="18A07538"/>
    <w:rsid w:val="18A76E6D"/>
    <w:rsid w:val="18A77ED3"/>
    <w:rsid w:val="18AB1068"/>
    <w:rsid w:val="18AD3D4F"/>
    <w:rsid w:val="18B06BFF"/>
    <w:rsid w:val="18B8291A"/>
    <w:rsid w:val="18BA5878"/>
    <w:rsid w:val="18C03451"/>
    <w:rsid w:val="18C343A0"/>
    <w:rsid w:val="18C42384"/>
    <w:rsid w:val="18C51BF0"/>
    <w:rsid w:val="18C563DC"/>
    <w:rsid w:val="18C83151"/>
    <w:rsid w:val="18C968A6"/>
    <w:rsid w:val="18CB28BA"/>
    <w:rsid w:val="18CE48B6"/>
    <w:rsid w:val="18D026FA"/>
    <w:rsid w:val="18D9361E"/>
    <w:rsid w:val="18DE6880"/>
    <w:rsid w:val="18F74F43"/>
    <w:rsid w:val="18FB1F21"/>
    <w:rsid w:val="19092B96"/>
    <w:rsid w:val="19094C53"/>
    <w:rsid w:val="190B519C"/>
    <w:rsid w:val="19101FC3"/>
    <w:rsid w:val="19167D8A"/>
    <w:rsid w:val="191C571B"/>
    <w:rsid w:val="192B1588"/>
    <w:rsid w:val="192D164C"/>
    <w:rsid w:val="193F17C8"/>
    <w:rsid w:val="19433D41"/>
    <w:rsid w:val="194D7925"/>
    <w:rsid w:val="1950570D"/>
    <w:rsid w:val="19512E68"/>
    <w:rsid w:val="19551BB7"/>
    <w:rsid w:val="19604CBC"/>
    <w:rsid w:val="196425B7"/>
    <w:rsid w:val="19685F92"/>
    <w:rsid w:val="19715351"/>
    <w:rsid w:val="197D41E7"/>
    <w:rsid w:val="19806A64"/>
    <w:rsid w:val="1989430A"/>
    <w:rsid w:val="19921804"/>
    <w:rsid w:val="199E76BA"/>
    <w:rsid w:val="19AA0147"/>
    <w:rsid w:val="19B26EAB"/>
    <w:rsid w:val="19B42E83"/>
    <w:rsid w:val="19B476A3"/>
    <w:rsid w:val="19BC6BA0"/>
    <w:rsid w:val="19C24DD8"/>
    <w:rsid w:val="19C41149"/>
    <w:rsid w:val="19C51754"/>
    <w:rsid w:val="19C71E55"/>
    <w:rsid w:val="19C81954"/>
    <w:rsid w:val="19CF29C7"/>
    <w:rsid w:val="19D43920"/>
    <w:rsid w:val="19D94A15"/>
    <w:rsid w:val="19DC27FE"/>
    <w:rsid w:val="19DF4D9E"/>
    <w:rsid w:val="19E04E59"/>
    <w:rsid w:val="19E607BA"/>
    <w:rsid w:val="19E863DB"/>
    <w:rsid w:val="19EA191E"/>
    <w:rsid w:val="19EB7243"/>
    <w:rsid w:val="19EC7D83"/>
    <w:rsid w:val="19F26D29"/>
    <w:rsid w:val="19F84C56"/>
    <w:rsid w:val="19FC5CA5"/>
    <w:rsid w:val="1A01291C"/>
    <w:rsid w:val="1A026AA3"/>
    <w:rsid w:val="1A032FF5"/>
    <w:rsid w:val="1A096BF2"/>
    <w:rsid w:val="1A0B66CB"/>
    <w:rsid w:val="1A0C55A2"/>
    <w:rsid w:val="1A100D82"/>
    <w:rsid w:val="1A110726"/>
    <w:rsid w:val="1A11647C"/>
    <w:rsid w:val="1A19214D"/>
    <w:rsid w:val="1A273778"/>
    <w:rsid w:val="1A2C714E"/>
    <w:rsid w:val="1A2E7033"/>
    <w:rsid w:val="1A2F497E"/>
    <w:rsid w:val="1A3C5177"/>
    <w:rsid w:val="1A4F7538"/>
    <w:rsid w:val="1A573A96"/>
    <w:rsid w:val="1A5949AF"/>
    <w:rsid w:val="1A5F0684"/>
    <w:rsid w:val="1A655C8F"/>
    <w:rsid w:val="1A660805"/>
    <w:rsid w:val="1A671DCB"/>
    <w:rsid w:val="1A694CA0"/>
    <w:rsid w:val="1A6B0DCC"/>
    <w:rsid w:val="1A6B1B9E"/>
    <w:rsid w:val="1A6C55AA"/>
    <w:rsid w:val="1A6D478C"/>
    <w:rsid w:val="1A711815"/>
    <w:rsid w:val="1A7F4318"/>
    <w:rsid w:val="1A8650BB"/>
    <w:rsid w:val="1A880662"/>
    <w:rsid w:val="1A9045CA"/>
    <w:rsid w:val="1A916901"/>
    <w:rsid w:val="1AA629E5"/>
    <w:rsid w:val="1AA7641A"/>
    <w:rsid w:val="1AB070EF"/>
    <w:rsid w:val="1AB61721"/>
    <w:rsid w:val="1AB75473"/>
    <w:rsid w:val="1AB932AA"/>
    <w:rsid w:val="1AC132A8"/>
    <w:rsid w:val="1AC63C1B"/>
    <w:rsid w:val="1AC84A12"/>
    <w:rsid w:val="1ACA3E51"/>
    <w:rsid w:val="1AD535CC"/>
    <w:rsid w:val="1ADA7A0C"/>
    <w:rsid w:val="1ADB6A7B"/>
    <w:rsid w:val="1ADF7266"/>
    <w:rsid w:val="1AE5267E"/>
    <w:rsid w:val="1AE65CA6"/>
    <w:rsid w:val="1AEB3359"/>
    <w:rsid w:val="1AEB451C"/>
    <w:rsid w:val="1AEC1230"/>
    <w:rsid w:val="1AED7E31"/>
    <w:rsid w:val="1AF86676"/>
    <w:rsid w:val="1AFB752A"/>
    <w:rsid w:val="1B020921"/>
    <w:rsid w:val="1B037A18"/>
    <w:rsid w:val="1B0679D8"/>
    <w:rsid w:val="1B1511C2"/>
    <w:rsid w:val="1B1E3089"/>
    <w:rsid w:val="1B26797D"/>
    <w:rsid w:val="1B2A1336"/>
    <w:rsid w:val="1B2D678C"/>
    <w:rsid w:val="1B303E73"/>
    <w:rsid w:val="1B327AC8"/>
    <w:rsid w:val="1B3548A1"/>
    <w:rsid w:val="1B360601"/>
    <w:rsid w:val="1B3B20FA"/>
    <w:rsid w:val="1B3C2D73"/>
    <w:rsid w:val="1B443365"/>
    <w:rsid w:val="1B45401A"/>
    <w:rsid w:val="1B4C01B4"/>
    <w:rsid w:val="1B5A43F9"/>
    <w:rsid w:val="1B63544D"/>
    <w:rsid w:val="1B695370"/>
    <w:rsid w:val="1B745B29"/>
    <w:rsid w:val="1B781A26"/>
    <w:rsid w:val="1B7975E3"/>
    <w:rsid w:val="1B7E34B1"/>
    <w:rsid w:val="1B84385B"/>
    <w:rsid w:val="1B883421"/>
    <w:rsid w:val="1B8A641C"/>
    <w:rsid w:val="1B96385E"/>
    <w:rsid w:val="1B9A50B4"/>
    <w:rsid w:val="1B9B1E83"/>
    <w:rsid w:val="1B9D5E8A"/>
    <w:rsid w:val="1BA54D43"/>
    <w:rsid w:val="1BA8258E"/>
    <w:rsid w:val="1BAC0A69"/>
    <w:rsid w:val="1BB077E1"/>
    <w:rsid w:val="1BB5108C"/>
    <w:rsid w:val="1BB85CDA"/>
    <w:rsid w:val="1BBA6D0F"/>
    <w:rsid w:val="1BC153DF"/>
    <w:rsid w:val="1BC34EEB"/>
    <w:rsid w:val="1BC72C84"/>
    <w:rsid w:val="1BCD45EC"/>
    <w:rsid w:val="1BCF5BAB"/>
    <w:rsid w:val="1BD12B27"/>
    <w:rsid w:val="1BD462BD"/>
    <w:rsid w:val="1BD57ABE"/>
    <w:rsid w:val="1BD828EB"/>
    <w:rsid w:val="1BDB1668"/>
    <w:rsid w:val="1BDE45D3"/>
    <w:rsid w:val="1BEA70D1"/>
    <w:rsid w:val="1BF61B02"/>
    <w:rsid w:val="1BFF63BF"/>
    <w:rsid w:val="1C093F78"/>
    <w:rsid w:val="1C1D4108"/>
    <w:rsid w:val="1C230F93"/>
    <w:rsid w:val="1C337BDA"/>
    <w:rsid w:val="1C363BF9"/>
    <w:rsid w:val="1C3976C9"/>
    <w:rsid w:val="1C432B06"/>
    <w:rsid w:val="1C504633"/>
    <w:rsid w:val="1C59211E"/>
    <w:rsid w:val="1C594CBE"/>
    <w:rsid w:val="1C5D6350"/>
    <w:rsid w:val="1C755840"/>
    <w:rsid w:val="1C8346C9"/>
    <w:rsid w:val="1C83714F"/>
    <w:rsid w:val="1C952B97"/>
    <w:rsid w:val="1C9752AF"/>
    <w:rsid w:val="1C99276E"/>
    <w:rsid w:val="1CA00EB3"/>
    <w:rsid w:val="1CA45BB8"/>
    <w:rsid w:val="1CA957F9"/>
    <w:rsid w:val="1CB005D7"/>
    <w:rsid w:val="1CB05756"/>
    <w:rsid w:val="1CB313B8"/>
    <w:rsid w:val="1CB42B22"/>
    <w:rsid w:val="1CBB5DE6"/>
    <w:rsid w:val="1CBD64BB"/>
    <w:rsid w:val="1CBE7207"/>
    <w:rsid w:val="1CBF1566"/>
    <w:rsid w:val="1CBF176F"/>
    <w:rsid w:val="1CC370F6"/>
    <w:rsid w:val="1CCA793A"/>
    <w:rsid w:val="1CCD4946"/>
    <w:rsid w:val="1CF322E0"/>
    <w:rsid w:val="1D0474C9"/>
    <w:rsid w:val="1D0D368B"/>
    <w:rsid w:val="1D11225E"/>
    <w:rsid w:val="1D173AB6"/>
    <w:rsid w:val="1D187EBB"/>
    <w:rsid w:val="1D19577C"/>
    <w:rsid w:val="1D1C3F98"/>
    <w:rsid w:val="1D1D70DA"/>
    <w:rsid w:val="1D1F358B"/>
    <w:rsid w:val="1D1F47AE"/>
    <w:rsid w:val="1D28760F"/>
    <w:rsid w:val="1D362B4C"/>
    <w:rsid w:val="1D37298A"/>
    <w:rsid w:val="1D380FF9"/>
    <w:rsid w:val="1D3C565D"/>
    <w:rsid w:val="1D3F573B"/>
    <w:rsid w:val="1D4043D7"/>
    <w:rsid w:val="1D473E5F"/>
    <w:rsid w:val="1D4C66C3"/>
    <w:rsid w:val="1D4F3806"/>
    <w:rsid w:val="1D57266A"/>
    <w:rsid w:val="1D574729"/>
    <w:rsid w:val="1D61611F"/>
    <w:rsid w:val="1D6505D8"/>
    <w:rsid w:val="1D71367F"/>
    <w:rsid w:val="1D720009"/>
    <w:rsid w:val="1D72312A"/>
    <w:rsid w:val="1D7C08D5"/>
    <w:rsid w:val="1D8173E6"/>
    <w:rsid w:val="1D850D24"/>
    <w:rsid w:val="1D8B5A63"/>
    <w:rsid w:val="1D8D30F6"/>
    <w:rsid w:val="1D9B600F"/>
    <w:rsid w:val="1DA00582"/>
    <w:rsid w:val="1DA40B6A"/>
    <w:rsid w:val="1DBE0159"/>
    <w:rsid w:val="1DBE389C"/>
    <w:rsid w:val="1DBF15E9"/>
    <w:rsid w:val="1DC02860"/>
    <w:rsid w:val="1DC128C3"/>
    <w:rsid w:val="1DC566AB"/>
    <w:rsid w:val="1DCA36C3"/>
    <w:rsid w:val="1DCB0AD7"/>
    <w:rsid w:val="1DCB59E5"/>
    <w:rsid w:val="1DCC1E45"/>
    <w:rsid w:val="1DCE4D3E"/>
    <w:rsid w:val="1DD639FE"/>
    <w:rsid w:val="1DD93F7D"/>
    <w:rsid w:val="1DDA4E2A"/>
    <w:rsid w:val="1DE11483"/>
    <w:rsid w:val="1DEF256F"/>
    <w:rsid w:val="1DF60916"/>
    <w:rsid w:val="1DFF7B24"/>
    <w:rsid w:val="1E0521CC"/>
    <w:rsid w:val="1E0B798D"/>
    <w:rsid w:val="1E196DF7"/>
    <w:rsid w:val="1E1A5A64"/>
    <w:rsid w:val="1E1C027A"/>
    <w:rsid w:val="1E1D31C7"/>
    <w:rsid w:val="1E1E23EB"/>
    <w:rsid w:val="1E237B7C"/>
    <w:rsid w:val="1E252A2D"/>
    <w:rsid w:val="1E2830DF"/>
    <w:rsid w:val="1E2A28C5"/>
    <w:rsid w:val="1E310B27"/>
    <w:rsid w:val="1E323690"/>
    <w:rsid w:val="1E335B20"/>
    <w:rsid w:val="1E37476D"/>
    <w:rsid w:val="1E3C6144"/>
    <w:rsid w:val="1E483D1F"/>
    <w:rsid w:val="1E4E6248"/>
    <w:rsid w:val="1E514FFA"/>
    <w:rsid w:val="1E5209CD"/>
    <w:rsid w:val="1E572FC2"/>
    <w:rsid w:val="1E6C7D81"/>
    <w:rsid w:val="1E782B86"/>
    <w:rsid w:val="1E7B03CA"/>
    <w:rsid w:val="1E7E7DA4"/>
    <w:rsid w:val="1E892F1A"/>
    <w:rsid w:val="1E896DBF"/>
    <w:rsid w:val="1E917153"/>
    <w:rsid w:val="1E966E63"/>
    <w:rsid w:val="1E9A42D8"/>
    <w:rsid w:val="1E9A6795"/>
    <w:rsid w:val="1E9A749E"/>
    <w:rsid w:val="1E9C6E65"/>
    <w:rsid w:val="1E9E1540"/>
    <w:rsid w:val="1EAE1336"/>
    <w:rsid w:val="1EBD4274"/>
    <w:rsid w:val="1EC549D8"/>
    <w:rsid w:val="1EC9261F"/>
    <w:rsid w:val="1ECC2EE0"/>
    <w:rsid w:val="1ED84D1E"/>
    <w:rsid w:val="1EE240F8"/>
    <w:rsid w:val="1EE350AA"/>
    <w:rsid w:val="1EF11208"/>
    <w:rsid w:val="1EF1148E"/>
    <w:rsid w:val="1EF262A3"/>
    <w:rsid w:val="1EF83B99"/>
    <w:rsid w:val="1EF974BE"/>
    <w:rsid w:val="1EFB417F"/>
    <w:rsid w:val="1EFF3739"/>
    <w:rsid w:val="1F05388D"/>
    <w:rsid w:val="1F0D0574"/>
    <w:rsid w:val="1F107FE5"/>
    <w:rsid w:val="1F187B86"/>
    <w:rsid w:val="1F253AF5"/>
    <w:rsid w:val="1F25778F"/>
    <w:rsid w:val="1F2C42AB"/>
    <w:rsid w:val="1F2E7A74"/>
    <w:rsid w:val="1F37188E"/>
    <w:rsid w:val="1F435FC4"/>
    <w:rsid w:val="1F4E0A0A"/>
    <w:rsid w:val="1F502DA6"/>
    <w:rsid w:val="1F521C61"/>
    <w:rsid w:val="1F582975"/>
    <w:rsid w:val="1F720486"/>
    <w:rsid w:val="1F7234C9"/>
    <w:rsid w:val="1F763CCA"/>
    <w:rsid w:val="1F7D39C4"/>
    <w:rsid w:val="1F832A21"/>
    <w:rsid w:val="1F89768C"/>
    <w:rsid w:val="1F907DD0"/>
    <w:rsid w:val="1F942467"/>
    <w:rsid w:val="1F996E3C"/>
    <w:rsid w:val="1F9B4BD0"/>
    <w:rsid w:val="1F9C39C9"/>
    <w:rsid w:val="1F9E4E4C"/>
    <w:rsid w:val="1FA64792"/>
    <w:rsid w:val="1FA95492"/>
    <w:rsid w:val="1FAB712A"/>
    <w:rsid w:val="1FAD4CF2"/>
    <w:rsid w:val="1FAF6F65"/>
    <w:rsid w:val="1FB23D2E"/>
    <w:rsid w:val="1FB37671"/>
    <w:rsid w:val="1FB44C75"/>
    <w:rsid w:val="1FBB56F3"/>
    <w:rsid w:val="1FC03EF2"/>
    <w:rsid w:val="1FC74D1B"/>
    <w:rsid w:val="1FC87651"/>
    <w:rsid w:val="1FCC6239"/>
    <w:rsid w:val="1FD04333"/>
    <w:rsid w:val="1FD06351"/>
    <w:rsid w:val="1FDA47B1"/>
    <w:rsid w:val="1FDB0869"/>
    <w:rsid w:val="1FDB4B06"/>
    <w:rsid w:val="1FDC1E88"/>
    <w:rsid w:val="1FDD0B9C"/>
    <w:rsid w:val="1FDD7FF9"/>
    <w:rsid w:val="1FE345BF"/>
    <w:rsid w:val="1FE70700"/>
    <w:rsid w:val="1FEF0000"/>
    <w:rsid w:val="1FF61D25"/>
    <w:rsid w:val="1FFA4AC6"/>
    <w:rsid w:val="1FFD3B6A"/>
    <w:rsid w:val="1FFF376B"/>
    <w:rsid w:val="200253F8"/>
    <w:rsid w:val="20040E42"/>
    <w:rsid w:val="20126718"/>
    <w:rsid w:val="20164C9E"/>
    <w:rsid w:val="2016651B"/>
    <w:rsid w:val="20196744"/>
    <w:rsid w:val="201B3515"/>
    <w:rsid w:val="20243E48"/>
    <w:rsid w:val="202E0035"/>
    <w:rsid w:val="20351E2D"/>
    <w:rsid w:val="20364B27"/>
    <w:rsid w:val="203F57DD"/>
    <w:rsid w:val="2040595C"/>
    <w:rsid w:val="20435182"/>
    <w:rsid w:val="204A1EC9"/>
    <w:rsid w:val="20562E80"/>
    <w:rsid w:val="205854DC"/>
    <w:rsid w:val="205966D6"/>
    <w:rsid w:val="20635328"/>
    <w:rsid w:val="206D37CE"/>
    <w:rsid w:val="206D7D7B"/>
    <w:rsid w:val="2071729D"/>
    <w:rsid w:val="20806EFA"/>
    <w:rsid w:val="20831A49"/>
    <w:rsid w:val="20880B16"/>
    <w:rsid w:val="208A25A7"/>
    <w:rsid w:val="208D29D7"/>
    <w:rsid w:val="208E20C9"/>
    <w:rsid w:val="20923DFF"/>
    <w:rsid w:val="209A7F1C"/>
    <w:rsid w:val="209F3948"/>
    <w:rsid w:val="20A51DE1"/>
    <w:rsid w:val="20A867B6"/>
    <w:rsid w:val="20B14C47"/>
    <w:rsid w:val="20B17276"/>
    <w:rsid w:val="20B51C50"/>
    <w:rsid w:val="20B54822"/>
    <w:rsid w:val="20C637AC"/>
    <w:rsid w:val="20D20D15"/>
    <w:rsid w:val="20D65D43"/>
    <w:rsid w:val="20E356C4"/>
    <w:rsid w:val="20ED6253"/>
    <w:rsid w:val="20F103FE"/>
    <w:rsid w:val="20F3089A"/>
    <w:rsid w:val="21026719"/>
    <w:rsid w:val="2111134A"/>
    <w:rsid w:val="21114230"/>
    <w:rsid w:val="21115351"/>
    <w:rsid w:val="21134423"/>
    <w:rsid w:val="2119668E"/>
    <w:rsid w:val="211A20DA"/>
    <w:rsid w:val="21266DCB"/>
    <w:rsid w:val="212914DD"/>
    <w:rsid w:val="21300EE9"/>
    <w:rsid w:val="213150DC"/>
    <w:rsid w:val="2134023C"/>
    <w:rsid w:val="21341A55"/>
    <w:rsid w:val="213D01FE"/>
    <w:rsid w:val="214B24AF"/>
    <w:rsid w:val="215215F8"/>
    <w:rsid w:val="21554C66"/>
    <w:rsid w:val="215B30BF"/>
    <w:rsid w:val="215D452F"/>
    <w:rsid w:val="216D11FA"/>
    <w:rsid w:val="21792903"/>
    <w:rsid w:val="217E18D6"/>
    <w:rsid w:val="217E4C9B"/>
    <w:rsid w:val="217F1CB5"/>
    <w:rsid w:val="21830D81"/>
    <w:rsid w:val="21880BE0"/>
    <w:rsid w:val="218D7400"/>
    <w:rsid w:val="2197274E"/>
    <w:rsid w:val="219B65BF"/>
    <w:rsid w:val="21A15ECD"/>
    <w:rsid w:val="21A85973"/>
    <w:rsid w:val="21AB7A6A"/>
    <w:rsid w:val="21B121C4"/>
    <w:rsid w:val="21B77F1E"/>
    <w:rsid w:val="21C22593"/>
    <w:rsid w:val="21C771CB"/>
    <w:rsid w:val="21E44633"/>
    <w:rsid w:val="21E706C5"/>
    <w:rsid w:val="21EC3F5C"/>
    <w:rsid w:val="21EF22B3"/>
    <w:rsid w:val="21F15A2C"/>
    <w:rsid w:val="21F20612"/>
    <w:rsid w:val="21F651CB"/>
    <w:rsid w:val="21F95701"/>
    <w:rsid w:val="21F95B3D"/>
    <w:rsid w:val="21FA07D1"/>
    <w:rsid w:val="21FC11A2"/>
    <w:rsid w:val="220578B1"/>
    <w:rsid w:val="22061278"/>
    <w:rsid w:val="221106D4"/>
    <w:rsid w:val="22143E34"/>
    <w:rsid w:val="2219360C"/>
    <w:rsid w:val="221E5D8B"/>
    <w:rsid w:val="22231B5B"/>
    <w:rsid w:val="222B5F50"/>
    <w:rsid w:val="222C37B9"/>
    <w:rsid w:val="222F6CA1"/>
    <w:rsid w:val="223335C9"/>
    <w:rsid w:val="223571F1"/>
    <w:rsid w:val="224B4757"/>
    <w:rsid w:val="22545C3D"/>
    <w:rsid w:val="2255660D"/>
    <w:rsid w:val="22560242"/>
    <w:rsid w:val="225C4BA6"/>
    <w:rsid w:val="22656D5E"/>
    <w:rsid w:val="226673BC"/>
    <w:rsid w:val="2269234C"/>
    <w:rsid w:val="226D2C29"/>
    <w:rsid w:val="2274086A"/>
    <w:rsid w:val="22747DDB"/>
    <w:rsid w:val="227737AA"/>
    <w:rsid w:val="227849E0"/>
    <w:rsid w:val="22790D0A"/>
    <w:rsid w:val="227B36F3"/>
    <w:rsid w:val="22811271"/>
    <w:rsid w:val="22827B22"/>
    <w:rsid w:val="22864571"/>
    <w:rsid w:val="228C6AE9"/>
    <w:rsid w:val="228F3C3E"/>
    <w:rsid w:val="22911F80"/>
    <w:rsid w:val="22B53180"/>
    <w:rsid w:val="22B63798"/>
    <w:rsid w:val="22BB24D6"/>
    <w:rsid w:val="22C01785"/>
    <w:rsid w:val="22CB60CA"/>
    <w:rsid w:val="22CC7C3E"/>
    <w:rsid w:val="22D0325A"/>
    <w:rsid w:val="22D4064E"/>
    <w:rsid w:val="22D66219"/>
    <w:rsid w:val="22E42917"/>
    <w:rsid w:val="22E82F25"/>
    <w:rsid w:val="22EA6342"/>
    <w:rsid w:val="22F44EC0"/>
    <w:rsid w:val="22F46269"/>
    <w:rsid w:val="22F9232A"/>
    <w:rsid w:val="23046040"/>
    <w:rsid w:val="230B11D3"/>
    <w:rsid w:val="230D2136"/>
    <w:rsid w:val="230E5988"/>
    <w:rsid w:val="23145AD8"/>
    <w:rsid w:val="231D25F8"/>
    <w:rsid w:val="232034AB"/>
    <w:rsid w:val="232169BF"/>
    <w:rsid w:val="232E2843"/>
    <w:rsid w:val="234A64B4"/>
    <w:rsid w:val="23533E3C"/>
    <w:rsid w:val="23546D28"/>
    <w:rsid w:val="23555FBD"/>
    <w:rsid w:val="235614B8"/>
    <w:rsid w:val="2356164C"/>
    <w:rsid w:val="235F1484"/>
    <w:rsid w:val="2363529A"/>
    <w:rsid w:val="236C5362"/>
    <w:rsid w:val="236E4D82"/>
    <w:rsid w:val="237301FE"/>
    <w:rsid w:val="23731E05"/>
    <w:rsid w:val="237543D4"/>
    <w:rsid w:val="237E1085"/>
    <w:rsid w:val="237F19D5"/>
    <w:rsid w:val="2389578A"/>
    <w:rsid w:val="238E0CC2"/>
    <w:rsid w:val="239C2A56"/>
    <w:rsid w:val="23A3564F"/>
    <w:rsid w:val="23A7544E"/>
    <w:rsid w:val="23AA4960"/>
    <w:rsid w:val="23AA72B5"/>
    <w:rsid w:val="23AE695F"/>
    <w:rsid w:val="23B40080"/>
    <w:rsid w:val="23B42D0A"/>
    <w:rsid w:val="23B4548E"/>
    <w:rsid w:val="23BA671E"/>
    <w:rsid w:val="23BF2648"/>
    <w:rsid w:val="23C55B2A"/>
    <w:rsid w:val="23C96B56"/>
    <w:rsid w:val="23CA774D"/>
    <w:rsid w:val="23D04A06"/>
    <w:rsid w:val="23DF274B"/>
    <w:rsid w:val="23E438DC"/>
    <w:rsid w:val="23E655ED"/>
    <w:rsid w:val="23E670E0"/>
    <w:rsid w:val="23F14891"/>
    <w:rsid w:val="23F9430E"/>
    <w:rsid w:val="23FE0D27"/>
    <w:rsid w:val="23FE5645"/>
    <w:rsid w:val="24020B16"/>
    <w:rsid w:val="240A5ACF"/>
    <w:rsid w:val="2412624B"/>
    <w:rsid w:val="241A13B8"/>
    <w:rsid w:val="241B5363"/>
    <w:rsid w:val="241D36C2"/>
    <w:rsid w:val="242568B6"/>
    <w:rsid w:val="24342583"/>
    <w:rsid w:val="24371A2D"/>
    <w:rsid w:val="243C22E1"/>
    <w:rsid w:val="243D6C3B"/>
    <w:rsid w:val="244533CB"/>
    <w:rsid w:val="244A4B41"/>
    <w:rsid w:val="244C529B"/>
    <w:rsid w:val="24540303"/>
    <w:rsid w:val="24595EA9"/>
    <w:rsid w:val="245A3EC1"/>
    <w:rsid w:val="24671AE5"/>
    <w:rsid w:val="246C4539"/>
    <w:rsid w:val="24792050"/>
    <w:rsid w:val="247E032C"/>
    <w:rsid w:val="248574D1"/>
    <w:rsid w:val="248B6569"/>
    <w:rsid w:val="248C4A1E"/>
    <w:rsid w:val="248D763C"/>
    <w:rsid w:val="248E7395"/>
    <w:rsid w:val="248F390F"/>
    <w:rsid w:val="24A25054"/>
    <w:rsid w:val="24A5338B"/>
    <w:rsid w:val="24A770BC"/>
    <w:rsid w:val="24B05380"/>
    <w:rsid w:val="24B14AB5"/>
    <w:rsid w:val="24BD3DA4"/>
    <w:rsid w:val="24CF35EE"/>
    <w:rsid w:val="24D05AD3"/>
    <w:rsid w:val="24D3439F"/>
    <w:rsid w:val="24D36A17"/>
    <w:rsid w:val="24DC6A10"/>
    <w:rsid w:val="24E06BE8"/>
    <w:rsid w:val="24E65B93"/>
    <w:rsid w:val="24EA395D"/>
    <w:rsid w:val="24EC2FF7"/>
    <w:rsid w:val="24FC1203"/>
    <w:rsid w:val="25031E46"/>
    <w:rsid w:val="25084A04"/>
    <w:rsid w:val="2508679D"/>
    <w:rsid w:val="25143F64"/>
    <w:rsid w:val="2516297C"/>
    <w:rsid w:val="25170823"/>
    <w:rsid w:val="25184027"/>
    <w:rsid w:val="25210240"/>
    <w:rsid w:val="25247673"/>
    <w:rsid w:val="252F5306"/>
    <w:rsid w:val="2537120E"/>
    <w:rsid w:val="253950FB"/>
    <w:rsid w:val="253E6EC1"/>
    <w:rsid w:val="2540027E"/>
    <w:rsid w:val="254A4467"/>
    <w:rsid w:val="254A6653"/>
    <w:rsid w:val="25555C08"/>
    <w:rsid w:val="255B001A"/>
    <w:rsid w:val="25610B65"/>
    <w:rsid w:val="256263BA"/>
    <w:rsid w:val="256271A7"/>
    <w:rsid w:val="25687BEB"/>
    <w:rsid w:val="257860F1"/>
    <w:rsid w:val="257A5F33"/>
    <w:rsid w:val="25814B16"/>
    <w:rsid w:val="25826B54"/>
    <w:rsid w:val="258A778D"/>
    <w:rsid w:val="25953DB7"/>
    <w:rsid w:val="25957B89"/>
    <w:rsid w:val="2597063F"/>
    <w:rsid w:val="259C3F56"/>
    <w:rsid w:val="25A13B8D"/>
    <w:rsid w:val="25A24814"/>
    <w:rsid w:val="25A47ACB"/>
    <w:rsid w:val="25A7174B"/>
    <w:rsid w:val="25AC38DA"/>
    <w:rsid w:val="25AF0139"/>
    <w:rsid w:val="25B0480A"/>
    <w:rsid w:val="25B470C3"/>
    <w:rsid w:val="25B75700"/>
    <w:rsid w:val="25B95AC8"/>
    <w:rsid w:val="25BF3072"/>
    <w:rsid w:val="25C24D31"/>
    <w:rsid w:val="25C35D6E"/>
    <w:rsid w:val="25C86E92"/>
    <w:rsid w:val="25D867A3"/>
    <w:rsid w:val="25DD014F"/>
    <w:rsid w:val="25DD355B"/>
    <w:rsid w:val="25DF7CA6"/>
    <w:rsid w:val="25DF7F81"/>
    <w:rsid w:val="25E1598F"/>
    <w:rsid w:val="25E34F1C"/>
    <w:rsid w:val="25E358D7"/>
    <w:rsid w:val="25F87333"/>
    <w:rsid w:val="25F968A2"/>
    <w:rsid w:val="25FA2627"/>
    <w:rsid w:val="25FD08B5"/>
    <w:rsid w:val="26127226"/>
    <w:rsid w:val="26256037"/>
    <w:rsid w:val="262F5DAB"/>
    <w:rsid w:val="263053A0"/>
    <w:rsid w:val="26331BFE"/>
    <w:rsid w:val="263B772B"/>
    <w:rsid w:val="263C2FCA"/>
    <w:rsid w:val="263C7389"/>
    <w:rsid w:val="263D7955"/>
    <w:rsid w:val="2641784F"/>
    <w:rsid w:val="26436D96"/>
    <w:rsid w:val="264F291C"/>
    <w:rsid w:val="26565096"/>
    <w:rsid w:val="265658B1"/>
    <w:rsid w:val="265B59AF"/>
    <w:rsid w:val="265E5052"/>
    <w:rsid w:val="26631FA4"/>
    <w:rsid w:val="26646565"/>
    <w:rsid w:val="266859C9"/>
    <w:rsid w:val="266A0123"/>
    <w:rsid w:val="266B32BF"/>
    <w:rsid w:val="266C3353"/>
    <w:rsid w:val="267A155C"/>
    <w:rsid w:val="267D5984"/>
    <w:rsid w:val="2690116B"/>
    <w:rsid w:val="26907E6F"/>
    <w:rsid w:val="269208D5"/>
    <w:rsid w:val="269E28A2"/>
    <w:rsid w:val="269F1F56"/>
    <w:rsid w:val="26A614BB"/>
    <w:rsid w:val="26AE1D3F"/>
    <w:rsid w:val="26AE512A"/>
    <w:rsid w:val="26AF121F"/>
    <w:rsid w:val="26B05831"/>
    <w:rsid w:val="26B12E89"/>
    <w:rsid w:val="26B1777C"/>
    <w:rsid w:val="26BD0F06"/>
    <w:rsid w:val="26C10960"/>
    <w:rsid w:val="26C53243"/>
    <w:rsid w:val="26C759B6"/>
    <w:rsid w:val="26C84D77"/>
    <w:rsid w:val="26CF7DFF"/>
    <w:rsid w:val="26D30302"/>
    <w:rsid w:val="26D87D70"/>
    <w:rsid w:val="26DE5A89"/>
    <w:rsid w:val="26E228E2"/>
    <w:rsid w:val="26E942DD"/>
    <w:rsid w:val="26EA64D2"/>
    <w:rsid w:val="26F575B1"/>
    <w:rsid w:val="26F60B45"/>
    <w:rsid w:val="26F646BC"/>
    <w:rsid w:val="26F93D7B"/>
    <w:rsid w:val="27001E87"/>
    <w:rsid w:val="270C37A0"/>
    <w:rsid w:val="27241F94"/>
    <w:rsid w:val="2724461D"/>
    <w:rsid w:val="272560D8"/>
    <w:rsid w:val="272C5CF9"/>
    <w:rsid w:val="272D2DE6"/>
    <w:rsid w:val="272E77B2"/>
    <w:rsid w:val="27377440"/>
    <w:rsid w:val="273B5A01"/>
    <w:rsid w:val="27464424"/>
    <w:rsid w:val="2747668A"/>
    <w:rsid w:val="274806C8"/>
    <w:rsid w:val="274A4D86"/>
    <w:rsid w:val="274C2569"/>
    <w:rsid w:val="275E75AA"/>
    <w:rsid w:val="275F6100"/>
    <w:rsid w:val="2764174E"/>
    <w:rsid w:val="27700376"/>
    <w:rsid w:val="277819E7"/>
    <w:rsid w:val="27783497"/>
    <w:rsid w:val="277D1D0C"/>
    <w:rsid w:val="277F30D0"/>
    <w:rsid w:val="277F7492"/>
    <w:rsid w:val="27803E93"/>
    <w:rsid w:val="27850D4F"/>
    <w:rsid w:val="2788134B"/>
    <w:rsid w:val="27882C72"/>
    <w:rsid w:val="27895A79"/>
    <w:rsid w:val="278F155F"/>
    <w:rsid w:val="278F15A8"/>
    <w:rsid w:val="27934597"/>
    <w:rsid w:val="27961ADC"/>
    <w:rsid w:val="279A26BE"/>
    <w:rsid w:val="279D1D18"/>
    <w:rsid w:val="27A569AE"/>
    <w:rsid w:val="27A77A58"/>
    <w:rsid w:val="27B2250A"/>
    <w:rsid w:val="27B645C5"/>
    <w:rsid w:val="27BD4CCC"/>
    <w:rsid w:val="27BE3BE1"/>
    <w:rsid w:val="27C87232"/>
    <w:rsid w:val="27C97A43"/>
    <w:rsid w:val="27CA2611"/>
    <w:rsid w:val="27CB7BB2"/>
    <w:rsid w:val="27D91920"/>
    <w:rsid w:val="27DC175A"/>
    <w:rsid w:val="27E23371"/>
    <w:rsid w:val="27E33F03"/>
    <w:rsid w:val="27E66FD8"/>
    <w:rsid w:val="27ED036D"/>
    <w:rsid w:val="27F3301A"/>
    <w:rsid w:val="27F641BF"/>
    <w:rsid w:val="27FE4D9C"/>
    <w:rsid w:val="27FF1453"/>
    <w:rsid w:val="27FF51F3"/>
    <w:rsid w:val="28003F0B"/>
    <w:rsid w:val="280564E5"/>
    <w:rsid w:val="28070001"/>
    <w:rsid w:val="28083688"/>
    <w:rsid w:val="28211668"/>
    <w:rsid w:val="28256A9E"/>
    <w:rsid w:val="28286636"/>
    <w:rsid w:val="282A4356"/>
    <w:rsid w:val="283822FA"/>
    <w:rsid w:val="283A7B9E"/>
    <w:rsid w:val="283D51BC"/>
    <w:rsid w:val="28451C4E"/>
    <w:rsid w:val="28453C58"/>
    <w:rsid w:val="28463FD9"/>
    <w:rsid w:val="284A3967"/>
    <w:rsid w:val="284A3DED"/>
    <w:rsid w:val="284D7091"/>
    <w:rsid w:val="28594E9F"/>
    <w:rsid w:val="28635977"/>
    <w:rsid w:val="2867761F"/>
    <w:rsid w:val="28690E82"/>
    <w:rsid w:val="28703BF8"/>
    <w:rsid w:val="287D2893"/>
    <w:rsid w:val="2885175B"/>
    <w:rsid w:val="2888118C"/>
    <w:rsid w:val="28944250"/>
    <w:rsid w:val="28944510"/>
    <w:rsid w:val="289904BE"/>
    <w:rsid w:val="289D6FBC"/>
    <w:rsid w:val="289E2242"/>
    <w:rsid w:val="289E7284"/>
    <w:rsid w:val="28A367D1"/>
    <w:rsid w:val="28A500CF"/>
    <w:rsid w:val="28AB398E"/>
    <w:rsid w:val="28AB4703"/>
    <w:rsid w:val="28BC4A80"/>
    <w:rsid w:val="28BC7B20"/>
    <w:rsid w:val="28C04C12"/>
    <w:rsid w:val="28C53872"/>
    <w:rsid w:val="28C546C2"/>
    <w:rsid w:val="28C9262F"/>
    <w:rsid w:val="28D75557"/>
    <w:rsid w:val="28D9251F"/>
    <w:rsid w:val="28DE51B7"/>
    <w:rsid w:val="28E90773"/>
    <w:rsid w:val="28E91ED5"/>
    <w:rsid w:val="28E92CDC"/>
    <w:rsid w:val="28EA620B"/>
    <w:rsid w:val="28F06B09"/>
    <w:rsid w:val="28F678C9"/>
    <w:rsid w:val="28FE14B0"/>
    <w:rsid w:val="28FE1F9D"/>
    <w:rsid w:val="290668A4"/>
    <w:rsid w:val="29070EF1"/>
    <w:rsid w:val="29076B45"/>
    <w:rsid w:val="29083B3D"/>
    <w:rsid w:val="290952CC"/>
    <w:rsid w:val="290E35DA"/>
    <w:rsid w:val="2913310C"/>
    <w:rsid w:val="29142C92"/>
    <w:rsid w:val="29201D7A"/>
    <w:rsid w:val="29261DE7"/>
    <w:rsid w:val="292638EA"/>
    <w:rsid w:val="29294562"/>
    <w:rsid w:val="292945E3"/>
    <w:rsid w:val="292B1B70"/>
    <w:rsid w:val="293737D0"/>
    <w:rsid w:val="293A16A0"/>
    <w:rsid w:val="293C6C49"/>
    <w:rsid w:val="294145CA"/>
    <w:rsid w:val="29432D9F"/>
    <w:rsid w:val="29470119"/>
    <w:rsid w:val="296C6194"/>
    <w:rsid w:val="29727CE2"/>
    <w:rsid w:val="297C2F07"/>
    <w:rsid w:val="29800418"/>
    <w:rsid w:val="298404B0"/>
    <w:rsid w:val="29874128"/>
    <w:rsid w:val="298D5EDC"/>
    <w:rsid w:val="298E2C23"/>
    <w:rsid w:val="298E418F"/>
    <w:rsid w:val="29936F43"/>
    <w:rsid w:val="299C39AF"/>
    <w:rsid w:val="299E5149"/>
    <w:rsid w:val="299F017B"/>
    <w:rsid w:val="299F73E8"/>
    <w:rsid w:val="29A40E35"/>
    <w:rsid w:val="29A472A8"/>
    <w:rsid w:val="29A616C2"/>
    <w:rsid w:val="29A91F5E"/>
    <w:rsid w:val="29AA0A9F"/>
    <w:rsid w:val="29AC73E6"/>
    <w:rsid w:val="29B30BE3"/>
    <w:rsid w:val="29B560A1"/>
    <w:rsid w:val="29B90B1E"/>
    <w:rsid w:val="29BB6D3C"/>
    <w:rsid w:val="29C834A2"/>
    <w:rsid w:val="29C900C0"/>
    <w:rsid w:val="29CE6067"/>
    <w:rsid w:val="29D32F20"/>
    <w:rsid w:val="29DB3C33"/>
    <w:rsid w:val="29E333D6"/>
    <w:rsid w:val="29E5090B"/>
    <w:rsid w:val="29E831BD"/>
    <w:rsid w:val="29F97C3C"/>
    <w:rsid w:val="29FD46B6"/>
    <w:rsid w:val="29FE179E"/>
    <w:rsid w:val="2A086C59"/>
    <w:rsid w:val="2A132A4B"/>
    <w:rsid w:val="2A175FEE"/>
    <w:rsid w:val="2A18486B"/>
    <w:rsid w:val="2A1A4A82"/>
    <w:rsid w:val="2A1D5E92"/>
    <w:rsid w:val="2A2012F9"/>
    <w:rsid w:val="2A24268B"/>
    <w:rsid w:val="2A281DF5"/>
    <w:rsid w:val="2A2917E1"/>
    <w:rsid w:val="2A322E95"/>
    <w:rsid w:val="2A335710"/>
    <w:rsid w:val="2A3B1739"/>
    <w:rsid w:val="2A3E709B"/>
    <w:rsid w:val="2A3F5BAB"/>
    <w:rsid w:val="2A4855D7"/>
    <w:rsid w:val="2A494A3C"/>
    <w:rsid w:val="2A501C6F"/>
    <w:rsid w:val="2A50644E"/>
    <w:rsid w:val="2A585770"/>
    <w:rsid w:val="2A592D0F"/>
    <w:rsid w:val="2A5A1E29"/>
    <w:rsid w:val="2A6626CD"/>
    <w:rsid w:val="2A670DFB"/>
    <w:rsid w:val="2A692262"/>
    <w:rsid w:val="2A742E3F"/>
    <w:rsid w:val="2A7479D1"/>
    <w:rsid w:val="2A7975BE"/>
    <w:rsid w:val="2A7B6947"/>
    <w:rsid w:val="2A7C6744"/>
    <w:rsid w:val="2A7E0511"/>
    <w:rsid w:val="2A7E2385"/>
    <w:rsid w:val="2A871C11"/>
    <w:rsid w:val="2A874DCE"/>
    <w:rsid w:val="2A8A3B4A"/>
    <w:rsid w:val="2A8C72CB"/>
    <w:rsid w:val="2A8D0B0F"/>
    <w:rsid w:val="2A9129F7"/>
    <w:rsid w:val="2A95549C"/>
    <w:rsid w:val="2A993320"/>
    <w:rsid w:val="2AA71BB3"/>
    <w:rsid w:val="2AA720AF"/>
    <w:rsid w:val="2AAC0420"/>
    <w:rsid w:val="2AAE42EE"/>
    <w:rsid w:val="2AB214AE"/>
    <w:rsid w:val="2AB27854"/>
    <w:rsid w:val="2AB40A8E"/>
    <w:rsid w:val="2AB5028A"/>
    <w:rsid w:val="2AB77841"/>
    <w:rsid w:val="2ABC269B"/>
    <w:rsid w:val="2AC20D85"/>
    <w:rsid w:val="2AC26D6F"/>
    <w:rsid w:val="2AC6568C"/>
    <w:rsid w:val="2AC728D2"/>
    <w:rsid w:val="2AD20D7C"/>
    <w:rsid w:val="2AD52FDB"/>
    <w:rsid w:val="2AD57EC8"/>
    <w:rsid w:val="2AD84B4D"/>
    <w:rsid w:val="2AD8573B"/>
    <w:rsid w:val="2AE00A6A"/>
    <w:rsid w:val="2AE24C3D"/>
    <w:rsid w:val="2AED1952"/>
    <w:rsid w:val="2AED2453"/>
    <w:rsid w:val="2AED2B0C"/>
    <w:rsid w:val="2AEF1CD1"/>
    <w:rsid w:val="2AFC1B6B"/>
    <w:rsid w:val="2B0244E2"/>
    <w:rsid w:val="2B027A73"/>
    <w:rsid w:val="2B070ABD"/>
    <w:rsid w:val="2B0C5FB5"/>
    <w:rsid w:val="2B0F58D8"/>
    <w:rsid w:val="2B0F7428"/>
    <w:rsid w:val="2B10158F"/>
    <w:rsid w:val="2B1059A6"/>
    <w:rsid w:val="2B1070D7"/>
    <w:rsid w:val="2B175D96"/>
    <w:rsid w:val="2B2901A8"/>
    <w:rsid w:val="2B301EEE"/>
    <w:rsid w:val="2B343387"/>
    <w:rsid w:val="2B37404A"/>
    <w:rsid w:val="2B3902C2"/>
    <w:rsid w:val="2B3C5F48"/>
    <w:rsid w:val="2B3E07A8"/>
    <w:rsid w:val="2B4244A7"/>
    <w:rsid w:val="2B427810"/>
    <w:rsid w:val="2B4A0810"/>
    <w:rsid w:val="2B4F04D1"/>
    <w:rsid w:val="2B5059C7"/>
    <w:rsid w:val="2B594459"/>
    <w:rsid w:val="2B596D8A"/>
    <w:rsid w:val="2B5F14EC"/>
    <w:rsid w:val="2B60107C"/>
    <w:rsid w:val="2B604C78"/>
    <w:rsid w:val="2B64193C"/>
    <w:rsid w:val="2B6D05B8"/>
    <w:rsid w:val="2B6D7C6D"/>
    <w:rsid w:val="2B6F60A6"/>
    <w:rsid w:val="2B7007CF"/>
    <w:rsid w:val="2B700AEE"/>
    <w:rsid w:val="2B7036F2"/>
    <w:rsid w:val="2B721285"/>
    <w:rsid w:val="2B722796"/>
    <w:rsid w:val="2B74648B"/>
    <w:rsid w:val="2B757DBF"/>
    <w:rsid w:val="2B765085"/>
    <w:rsid w:val="2B7F6DB1"/>
    <w:rsid w:val="2B8442FF"/>
    <w:rsid w:val="2B8B0C0F"/>
    <w:rsid w:val="2B8D6BD0"/>
    <w:rsid w:val="2B962F11"/>
    <w:rsid w:val="2B966615"/>
    <w:rsid w:val="2B9D593D"/>
    <w:rsid w:val="2BA4655D"/>
    <w:rsid w:val="2BA52D49"/>
    <w:rsid w:val="2BB27445"/>
    <w:rsid w:val="2BB34299"/>
    <w:rsid w:val="2BC23F6C"/>
    <w:rsid w:val="2BC2605F"/>
    <w:rsid w:val="2BCB34B7"/>
    <w:rsid w:val="2BCC3285"/>
    <w:rsid w:val="2BCC67CC"/>
    <w:rsid w:val="2BD036BC"/>
    <w:rsid w:val="2BD154E9"/>
    <w:rsid w:val="2BDE6071"/>
    <w:rsid w:val="2BE01C6B"/>
    <w:rsid w:val="2BE47402"/>
    <w:rsid w:val="2BE54644"/>
    <w:rsid w:val="2BE83025"/>
    <w:rsid w:val="2BF1374D"/>
    <w:rsid w:val="2BFA02AD"/>
    <w:rsid w:val="2BFE13E2"/>
    <w:rsid w:val="2C051922"/>
    <w:rsid w:val="2C0C0512"/>
    <w:rsid w:val="2C1340C8"/>
    <w:rsid w:val="2C1349B3"/>
    <w:rsid w:val="2C1F4025"/>
    <w:rsid w:val="2C1F54A6"/>
    <w:rsid w:val="2C237202"/>
    <w:rsid w:val="2C2873C3"/>
    <w:rsid w:val="2C2968CC"/>
    <w:rsid w:val="2C2E5710"/>
    <w:rsid w:val="2C325FEF"/>
    <w:rsid w:val="2C3460EE"/>
    <w:rsid w:val="2C3463A1"/>
    <w:rsid w:val="2C433E27"/>
    <w:rsid w:val="2C4474B7"/>
    <w:rsid w:val="2C4551C0"/>
    <w:rsid w:val="2C4B0ACC"/>
    <w:rsid w:val="2C52604D"/>
    <w:rsid w:val="2C56374C"/>
    <w:rsid w:val="2C587A2F"/>
    <w:rsid w:val="2C597D62"/>
    <w:rsid w:val="2C5C4218"/>
    <w:rsid w:val="2C5D755A"/>
    <w:rsid w:val="2C622799"/>
    <w:rsid w:val="2C6916D0"/>
    <w:rsid w:val="2C6F3C27"/>
    <w:rsid w:val="2C7537BA"/>
    <w:rsid w:val="2C7A3125"/>
    <w:rsid w:val="2C7A6C2F"/>
    <w:rsid w:val="2C7C666D"/>
    <w:rsid w:val="2C803B49"/>
    <w:rsid w:val="2C804E58"/>
    <w:rsid w:val="2C8D6605"/>
    <w:rsid w:val="2C945C28"/>
    <w:rsid w:val="2C9734EF"/>
    <w:rsid w:val="2C9B5F23"/>
    <w:rsid w:val="2C9C2D10"/>
    <w:rsid w:val="2C9C4200"/>
    <w:rsid w:val="2C9D51A1"/>
    <w:rsid w:val="2CA16209"/>
    <w:rsid w:val="2CA649E0"/>
    <w:rsid w:val="2CAB64A9"/>
    <w:rsid w:val="2CB11B6B"/>
    <w:rsid w:val="2CB34315"/>
    <w:rsid w:val="2CB8113B"/>
    <w:rsid w:val="2CB93AE3"/>
    <w:rsid w:val="2CBE2B6E"/>
    <w:rsid w:val="2CC134EB"/>
    <w:rsid w:val="2CC36D20"/>
    <w:rsid w:val="2CC56580"/>
    <w:rsid w:val="2CC874E0"/>
    <w:rsid w:val="2CC924D3"/>
    <w:rsid w:val="2CCB7A09"/>
    <w:rsid w:val="2CCE62BF"/>
    <w:rsid w:val="2CD2357F"/>
    <w:rsid w:val="2CE71B3B"/>
    <w:rsid w:val="2CEF481A"/>
    <w:rsid w:val="2CF12EB6"/>
    <w:rsid w:val="2CFA555B"/>
    <w:rsid w:val="2CFA74B7"/>
    <w:rsid w:val="2CFD7818"/>
    <w:rsid w:val="2D02584A"/>
    <w:rsid w:val="2D034B8C"/>
    <w:rsid w:val="2D10413C"/>
    <w:rsid w:val="2D104176"/>
    <w:rsid w:val="2D1922BF"/>
    <w:rsid w:val="2D1B2AC8"/>
    <w:rsid w:val="2D254459"/>
    <w:rsid w:val="2D262D25"/>
    <w:rsid w:val="2D265A20"/>
    <w:rsid w:val="2D331087"/>
    <w:rsid w:val="2D363B88"/>
    <w:rsid w:val="2D3B6728"/>
    <w:rsid w:val="2D3F4B91"/>
    <w:rsid w:val="2D3F654B"/>
    <w:rsid w:val="2D405182"/>
    <w:rsid w:val="2D406663"/>
    <w:rsid w:val="2D420024"/>
    <w:rsid w:val="2D497F17"/>
    <w:rsid w:val="2D4A1FB9"/>
    <w:rsid w:val="2D4D0518"/>
    <w:rsid w:val="2D597351"/>
    <w:rsid w:val="2D5C2E0D"/>
    <w:rsid w:val="2D631BB5"/>
    <w:rsid w:val="2D6D338E"/>
    <w:rsid w:val="2D7C5B0C"/>
    <w:rsid w:val="2D87256F"/>
    <w:rsid w:val="2D9E4CF1"/>
    <w:rsid w:val="2DA31C74"/>
    <w:rsid w:val="2DA3745C"/>
    <w:rsid w:val="2DA7130E"/>
    <w:rsid w:val="2DBD4788"/>
    <w:rsid w:val="2DCF72A6"/>
    <w:rsid w:val="2DDA6202"/>
    <w:rsid w:val="2DDB46FB"/>
    <w:rsid w:val="2DE36E4C"/>
    <w:rsid w:val="2DE73D3F"/>
    <w:rsid w:val="2DE73E6F"/>
    <w:rsid w:val="2DEE6370"/>
    <w:rsid w:val="2DF00AFC"/>
    <w:rsid w:val="2DF2657B"/>
    <w:rsid w:val="2DF52EFF"/>
    <w:rsid w:val="2DF7098A"/>
    <w:rsid w:val="2E061930"/>
    <w:rsid w:val="2E0B3883"/>
    <w:rsid w:val="2E122A84"/>
    <w:rsid w:val="2E1C51B6"/>
    <w:rsid w:val="2E2058CA"/>
    <w:rsid w:val="2E306E62"/>
    <w:rsid w:val="2E310B9F"/>
    <w:rsid w:val="2E3219F4"/>
    <w:rsid w:val="2E344BCA"/>
    <w:rsid w:val="2E3D63DF"/>
    <w:rsid w:val="2E5159B7"/>
    <w:rsid w:val="2E553EAD"/>
    <w:rsid w:val="2E56463B"/>
    <w:rsid w:val="2E590462"/>
    <w:rsid w:val="2E622AAC"/>
    <w:rsid w:val="2E636454"/>
    <w:rsid w:val="2E6A1366"/>
    <w:rsid w:val="2E6E52A6"/>
    <w:rsid w:val="2E712359"/>
    <w:rsid w:val="2E73722A"/>
    <w:rsid w:val="2E776885"/>
    <w:rsid w:val="2E8F3F64"/>
    <w:rsid w:val="2E907B52"/>
    <w:rsid w:val="2E9358BA"/>
    <w:rsid w:val="2E9418D6"/>
    <w:rsid w:val="2E96530E"/>
    <w:rsid w:val="2E9742FA"/>
    <w:rsid w:val="2E99111E"/>
    <w:rsid w:val="2EA15D27"/>
    <w:rsid w:val="2EA32C41"/>
    <w:rsid w:val="2EA32FC6"/>
    <w:rsid w:val="2EA426BC"/>
    <w:rsid w:val="2EB149E9"/>
    <w:rsid w:val="2EBC135D"/>
    <w:rsid w:val="2EBF5AC9"/>
    <w:rsid w:val="2EC86A27"/>
    <w:rsid w:val="2ECB2949"/>
    <w:rsid w:val="2ECE63F8"/>
    <w:rsid w:val="2ECF178A"/>
    <w:rsid w:val="2ED268B2"/>
    <w:rsid w:val="2EF36A7E"/>
    <w:rsid w:val="2EFB67FE"/>
    <w:rsid w:val="2F0572DE"/>
    <w:rsid w:val="2F0A0BC6"/>
    <w:rsid w:val="2F0C44F0"/>
    <w:rsid w:val="2F0C4C4D"/>
    <w:rsid w:val="2F0E3A8C"/>
    <w:rsid w:val="2F0F21E8"/>
    <w:rsid w:val="2F1520F4"/>
    <w:rsid w:val="2F1A5241"/>
    <w:rsid w:val="2F1C064A"/>
    <w:rsid w:val="2F1D52D0"/>
    <w:rsid w:val="2F2043C7"/>
    <w:rsid w:val="2F23190D"/>
    <w:rsid w:val="2F297F3E"/>
    <w:rsid w:val="2F37094A"/>
    <w:rsid w:val="2F3918C6"/>
    <w:rsid w:val="2F396A5C"/>
    <w:rsid w:val="2F3B64FF"/>
    <w:rsid w:val="2F477462"/>
    <w:rsid w:val="2F4C40A5"/>
    <w:rsid w:val="2F4D3B5D"/>
    <w:rsid w:val="2F563EC0"/>
    <w:rsid w:val="2F5B42DA"/>
    <w:rsid w:val="2F680645"/>
    <w:rsid w:val="2F6A2182"/>
    <w:rsid w:val="2F6F4C46"/>
    <w:rsid w:val="2F764A55"/>
    <w:rsid w:val="2F76568B"/>
    <w:rsid w:val="2F7D7202"/>
    <w:rsid w:val="2F8A5F9C"/>
    <w:rsid w:val="2F8F3D9C"/>
    <w:rsid w:val="2F915940"/>
    <w:rsid w:val="2F921FFD"/>
    <w:rsid w:val="2F9453AA"/>
    <w:rsid w:val="2F94568F"/>
    <w:rsid w:val="2F990F54"/>
    <w:rsid w:val="2F9960ED"/>
    <w:rsid w:val="2F9D74DB"/>
    <w:rsid w:val="2FA1782B"/>
    <w:rsid w:val="2FA43DEB"/>
    <w:rsid w:val="2FA82EF3"/>
    <w:rsid w:val="2FA921F3"/>
    <w:rsid w:val="2FAE723E"/>
    <w:rsid w:val="2FB1751B"/>
    <w:rsid w:val="2FB3377D"/>
    <w:rsid w:val="2FBF0676"/>
    <w:rsid w:val="2FCA0991"/>
    <w:rsid w:val="2FD80463"/>
    <w:rsid w:val="2FDB44EA"/>
    <w:rsid w:val="2FDC59AA"/>
    <w:rsid w:val="2FDD4A9A"/>
    <w:rsid w:val="2FDF74CA"/>
    <w:rsid w:val="30030E09"/>
    <w:rsid w:val="300E06A4"/>
    <w:rsid w:val="300E1235"/>
    <w:rsid w:val="3014278A"/>
    <w:rsid w:val="301800B0"/>
    <w:rsid w:val="304B6A11"/>
    <w:rsid w:val="30526F75"/>
    <w:rsid w:val="305739E6"/>
    <w:rsid w:val="30595952"/>
    <w:rsid w:val="305C46DD"/>
    <w:rsid w:val="306B4C33"/>
    <w:rsid w:val="306D1DE2"/>
    <w:rsid w:val="30706915"/>
    <w:rsid w:val="3076187E"/>
    <w:rsid w:val="307776FD"/>
    <w:rsid w:val="307E7076"/>
    <w:rsid w:val="307F5651"/>
    <w:rsid w:val="307F6F55"/>
    <w:rsid w:val="30844B87"/>
    <w:rsid w:val="30865675"/>
    <w:rsid w:val="30871F9B"/>
    <w:rsid w:val="308A276F"/>
    <w:rsid w:val="308D22D3"/>
    <w:rsid w:val="309366FB"/>
    <w:rsid w:val="30971973"/>
    <w:rsid w:val="309762F2"/>
    <w:rsid w:val="309918AC"/>
    <w:rsid w:val="309A5018"/>
    <w:rsid w:val="309C1C91"/>
    <w:rsid w:val="309F2928"/>
    <w:rsid w:val="30A22C4B"/>
    <w:rsid w:val="30A34DCA"/>
    <w:rsid w:val="30AA61A7"/>
    <w:rsid w:val="30AD4B9D"/>
    <w:rsid w:val="30AE2B58"/>
    <w:rsid w:val="30B319DA"/>
    <w:rsid w:val="30BF1A33"/>
    <w:rsid w:val="30C21A50"/>
    <w:rsid w:val="30C2522A"/>
    <w:rsid w:val="30C536F8"/>
    <w:rsid w:val="30CC3F7C"/>
    <w:rsid w:val="30CD0A28"/>
    <w:rsid w:val="30CF6DEB"/>
    <w:rsid w:val="30D3442A"/>
    <w:rsid w:val="30D95BF8"/>
    <w:rsid w:val="30DD25CD"/>
    <w:rsid w:val="30E24928"/>
    <w:rsid w:val="30E77847"/>
    <w:rsid w:val="30E87FC4"/>
    <w:rsid w:val="30F91F98"/>
    <w:rsid w:val="30FD42E7"/>
    <w:rsid w:val="30FF2FBB"/>
    <w:rsid w:val="3102650D"/>
    <w:rsid w:val="310304F7"/>
    <w:rsid w:val="31053B4B"/>
    <w:rsid w:val="31066455"/>
    <w:rsid w:val="31111818"/>
    <w:rsid w:val="31231D3C"/>
    <w:rsid w:val="31241A1B"/>
    <w:rsid w:val="3127437E"/>
    <w:rsid w:val="3129773D"/>
    <w:rsid w:val="312A405D"/>
    <w:rsid w:val="31351065"/>
    <w:rsid w:val="313C3448"/>
    <w:rsid w:val="31442ABA"/>
    <w:rsid w:val="31461636"/>
    <w:rsid w:val="3147671D"/>
    <w:rsid w:val="314A7A2F"/>
    <w:rsid w:val="31542A30"/>
    <w:rsid w:val="31554883"/>
    <w:rsid w:val="315A7C6D"/>
    <w:rsid w:val="3161328B"/>
    <w:rsid w:val="31634A82"/>
    <w:rsid w:val="316D22BB"/>
    <w:rsid w:val="317B7969"/>
    <w:rsid w:val="31823309"/>
    <w:rsid w:val="31845A1A"/>
    <w:rsid w:val="318D10E4"/>
    <w:rsid w:val="318F7AB2"/>
    <w:rsid w:val="3199187C"/>
    <w:rsid w:val="319D6E77"/>
    <w:rsid w:val="31A06472"/>
    <w:rsid w:val="31A47D76"/>
    <w:rsid w:val="31A67E2D"/>
    <w:rsid w:val="31AB5EC3"/>
    <w:rsid w:val="31AD019A"/>
    <w:rsid w:val="31B7469D"/>
    <w:rsid w:val="31BF6A05"/>
    <w:rsid w:val="31C20B2E"/>
    <w:rsid w:val="31C22C6F"/>
    <w:rsid w:val="31C634A4"/>
    <w:rsid w:val="31C6519A"/>
    <w:rsid w:val="31CE39B7"/>
    <w:rsid w:val="31D26D13"/>
    <w:rsid w:val="31DA083D"/>
    <w:rsid w:val="31EB2827"/>
    <w:rsid w:val="31F02C1F"/>
    <w:rsid w:val="31F648A9"/>
    <w:rsid w:val="31F722A7"/>
    <w:rsid w:val="31F8039B"/>
    <w:rsid w:val="31F84627"/>
    <w:rsid w:val="31FA6967"/>
    <w:rsid w:val="31FF5675"/>
    <w:rsid w:val="31FF684B"/>
    <w:rsid w:val="32030D48"/>
    <w:rsid w:val="320C2F59"/>
    <w:rsid w:val="320F6237"/>
    <w:rsid w:val="32103AB7"/>
    <w:rsid w:val="32157258"/>
    <w:rsid w:val="32164206"/>
    <w:rsid w:val="321A20AB"/>
    <w:rsid w:val="321F6E19"/>
    <w:rsid w:val="32254C78"/>
    <w:rsid w:val="3229136A"/>
    <w:rsid w:val="32331013"/>
    <w:rsid w:val="32390A31"/>
    <w:rsid w:val="324139CC"/>
    <w:rsid w:val="32424A4B"/>
    <w:rsid w:val="324420EC"/>
    <w:rsid w:val="32523BC9"/>
    <w:rsid w:val="32555E98"/>
    <w:rsid w:val="325C521B"/>
    <w:rsid w:val="325F2448"/>
    <w:rsid w:val="32622260"/>
    <w:rsid w:val="326B3E34"/>
    <w:rsid w:val="326C5E75"/>
    <w:rsid w:val="326E578F"/>
    <w:rsid w:val="32752BEC"/>
    <w:rsid w:val="32766ADC"/>
    <w:rsid w:val="32770C53"/>
    <w:rsid w:val="327A7295"/>
    <w:rsid w:val="327D68D0"/>
    <w:rsid w:val="328319C7"/>
    <w:rsid w:val="32A00C08"/>
    <w:rsid w:val="32A40659"/>
    <w:rsid w:val="32AD218B"/>
    <w:rsid w:val="32BA6E40"/>
    <w:rsid w:val="32CF07B4"/>
    <w:rsid w:val="32D22461"/>
    <w:rsid w:val="32D4118A"/>
    <w:rsid w:val="32D84B84"/>
    <w:rsid w:val="32E85760"/>
    <w:rsid w:val="32E9164F"/>
    <w:rsid w:val="32EA52BF"/>
    <w:rsid w:val="32EB1764"/>
    <w:rsid w:val="32F32C04"/>
    <w:rsid w:val="32F744EE"/>
    <w:rsid w:val="32F926D3"/>
    <w:rsid w:val="32FA4062"/>
    <w:rsid w:val="33012F44"/>
    <w:rsid w:val="33024DB1"/>
    <w:rsid w:val="33044BA7"/>
    <w:rsid w:val="33114DDB"/>
    <w:rsid w:val="33117375"/>
    <w:rsid w:val="33163294"/>
    <w:rsid w:val="331A0B19"/>
    <w:rsid w:val="331A3857"/>
    <w:rsid w:val="331B4578"/>
    <w:rsid w:val="331D2D88"/>
    <w:rsid w:val="332A58B0"/>
    <w:rsid w:val="332E240F"/>
    <w:rsid w:val="332E3412"/>
    <w:rsid w:val="332F09CC"/>
    <w:rsid w:val="3330269A"/>
    <w:rsid w:val="333353B7"/>
    <w:rsid w:val="33346A83"/>
    <w:rsid w:val="33392465"/>
    <w:rsid w:val="33454B1D"/>
    <w:rsid w:val="3348398D"/>
    <w:rsid w:val="334B36E3"/>
    <w:rsid w:val="334C5B8E"/>
    <w:rsid w:val="335845F2"/>
    <w:rsid w:val="335F6666"/>
    <w:rsid w:val="3368680B"/>
    <w:rsid w:val="336B49B1"/>
    <w:rsid w:val="336E664F"/>
    <w:rsid w:val="337148D9"/>
    <w:rsid w:val="33742D1E"/>
    <w:rsid w:val="33752B01"/>
    <w:rsid w:val="337B3E79"/>
    <w:rsid w:val="337D3848"/>
    <w:rsid w:val="33806809"/>
    <w:rsid w:val="338906E8"/>
    <w:rsid w:val="338932C5"/>
    <w:rsid w:val="338C4C3D"/>
    <w:rsid w:val="338D3CFF"/>
    <w:rsid w:val="338E061E"/>
    <w:rsid w:val="338E79BA"/>
    <w:rsid w:val="338F38BF"/>
    <w:rsid w:val="339920BC"/>
    <w:rsid w:val="339A6876"/>
    <w:rsid w:val="33A05736"/>
    <w:rsid w:val="33A852D5"/>
    <w:rsid w:val="33B676B2"/>
    <w:rsid w:val="33BA0CF2"/>
    <w:rsid w:val="33C25D73"/>
    <w:rsid w:val="33C44CA1"/>
    <w:rsid w:val="33C51B6D"/>
    <w:rsid w:val="33C60D46"/>
    <w:rsid w:val="33CC2D06"/>
    <w:rsid w:val="33D5265A"/>
    <w:rsid w:val="33D63411"/>
    <w:rsid w:val="33D73944"/>
    <w:rsid w:val="33D864B6"/>
    <w:rsid w:val="33DF7B09"/>
    <w:rsid w:val="33E57E53"/>
    <w:rsid w:val="33E931E5"/>
    <w:rsid w:val="33EA0162"/>
    <w:rsid w:val="33F12EBD"/>
    <w:rsid w:val="34033D7B"/>
    <w:rsid w:val="34037A3B"/>
    <w:rsid w:val="340B20DA"/>
    <w:rsid w:val="340C4E87"/>
    <w:rsid w:val="340D1634"/>
    <w:rsid w:val="34116A71"/>
    <w:rsid w:val="34141D7D"/>
    <w:rsid w:val="341A527A"/>
    <w:rsid w:val="341C0DB8"/>
    <w:rsid w:val="341C1D6F"/>
    <w:rsid w:val="342910C4"/>
    <w:rsid w:val="342A25F3"/>
    <w:rsid w:val="342E11E5"/>
    <w:rsid w:val="34377A96"/>
    <w:rsid w:val="343A2BAC"/>
    <w:rsid w:val="343A7885"/>
    <w:rsid w:val="343D7FFA"/>
    <w:rsid w:val="344A06F0"/>
    <w:rsid w:val="345F04FA"/>
    <w:rsid w:val="3466401F"/>
    <w:rsid w:val="346656E0"/>
    <w:rsid w:val="346755AF"/>
    <w:rsid w:val="346B2496"/>
    <w:rsid w:val="347005AF"/>
    <w:rsid w:val="34776D68"/>
    <w:rsid w:val="347A0FFB"/>
    <w:rsid w:val="348379DE"/>
    <w:rsid w:val="3486552D"/>
    <w:rsid w:val="34876A01"/>
    <w:rsid w:val="348E6484"/>
    <w:rsid w:val="34972C19"/>
    <w:rsid w:val="349822E4"/>
    <w:rsid w:val="349C4F01"/>
    <w:rsid w:val="34A31984"/>
    <w:rsid w:val="34AE2BE2"/>
    <w:rsid w:val="34B45980"/>
    <w:rsid w:val="34B60F57"/>
    <w:rsid w:val="34CA2A40"/>
    <w:rsid w:val="34D62F80"/>
    <w:rsid w:val="34DD52EE"/>
    <w:rsid w:val="34DF36C3"/>
    <w:rsid w:val="34F130C4"/>
    <w:rsid w:val="34F13687"/>
    <w:rsid w:val="35052E54"/>
    <w:rsid w:val="350651FB"/>
    <w:rsid w:val="3507445A"/>
    <w:rsid w:val="35075F96"/>
    <w:rsid w:val="350847F1"/>
    <w:rsid w:val="3511056D"/>
    <w:rsid w:val="35115C00"/>
    <w:rsid w:val="351A4AE7"/>
    <w:rsid w:val="351B1B28"/>
    <w:rsid w:val="351D229D"/>
    <w:rsid w:val="351E6EA8"/>
    <w:rsid w:val="3522170F"/>
    <w:rsid w:val="35233233"/>
    <w:rsid w:val="35236787"/>
    <w:rsid w:val="35313D0A"/>
    <w:rsid w:val="353402AB"/>
    <w:rsid w:val="353E714D"/>
    <w:rsid w:val="354719C6"/>
    <w:rsid w:val="35633176"/>
    <w:rsid w:val="356A327B"/>
    <w:rsid w:val="356A7ACC"/>
    <w:rsid w:val="357021DB"/>
    <w:rsid w:val="35722631"/>
    <w:rsid w:val="357E4032"/>
    <w:rsid w:val="357E61C0"/>
    <w:rsid w:val="35813CF0"/>
    <w:rsid w:val="35890A9E"/>
    <w:rsid w:val="35894B8F"/>
    <w:rsid w:val="358D2A10"/>
    <w:rsid w:val="358E26CB"/>
    <w:rsid w:val="359377CF"/>
    <w:rsid w:val="35947734"/>
    <w:rsid w:val="359643AA"/>
    <w:rsid w:val="359655F4"/>
    <w:rsid w:val="359A3F74"/>
    <w:rsid w:val="359D36B1"/>
    <w:rsid w:val="35A50703"/>
    <w:rsid w:val="35AD09C3"/>
    <w:rsid w:val="35B75CB9"/>
    <w:rsid w:val="35BC3A2D"/>
    <w:rsid w:val="35BF3F4C"/>
    <w:rsid w:val="35C25B82"/>
    <w:rsid w:val="35C50D97"/>
    <w:rsid w:val="35C62569"/>
    <w:rsid w:val="35CC7EB9"/>
    <w:rsid w:val="35D02593"/>
    <w:rsid w:val="35D32DF2"/>
    <w:rsid w:val="35DA6EA3"/>
    <w:rsid w:val="35DC3ECD"/>
    <w:rsid w:val="35E55C17"/>
    <w:rsid w:val="35E70DD3"/>
    <w:rsid w:val="35EA3532"/>
    <w:rsid w:val="35F67BCB"/>
    <w:rsid w:val="35FF7757"/>
    <w:rsid w:val="36085028"/>
    <w:rsid w:val="3609301E"/>
    <w:rsid w:val="360F1F5D"/>
    <w:rsid w:val="36126473"/>
    <w:rsid w:val="361A31C1"/>
    <w:rsid w:val="362013CC"/>
    <w:rsid w:val="36397704"/>
    <w:rsid w:val="363A1192"/>
    <w:rsid w:val="363B6873"/>
    <w:rsid w:val="363E0E35"/>
    <w:rsid w:val="364C701A"/>
    <w:rsid w:val="364F717B"/>
    <w:rsid w:val="365331FB"/>
    <w:rsid w:val="365475DF"/>
    <w:rsid w:val="36577678"/>
    <w:rsid w:val="365E400D"/>
    <w:rsid w:val="36645AF2"/>
    <w:rsid w:val="36663241"/>
    <w:rsid w:val="36676BC9"/>
    <w:rsid w:val="36676F03"/>
    <w:rsid w:val="36684F14"/>
    <w:rsid w:val="366C7CDD"/>
    <w:rsid w:val="366F792B"/>
    <w:rsid w:val="3676650A"/>
    <w:rsid w:val="367A46AF"/>
    <w:rsid w:val="367C71A1"/>
    <w:rsid w:val="367D7A13"/>
    <w:rsid w:val="36810EEA"/>
    <w:rsid w:val="36814BC8"/>
    <w:rsid w:val="36823BFF"/>
    <w:rsid w:val="368379E4"/>
    <w:rsid w:val="368737C3"/>
    <w:rsid w:val="368A5895"/>
    <w:rsid w:val="368D1CFF"/>
    <w:rsid w:val="36940641"/>
    <w:rsid w:val="369826E4"/>
    <w:rsid w:val="36A21E48"/>
    <w:rsid w:val="36A33492"/>
    <w:rsid w:val="36AD1F22"/>
    <w:rsid w:val="36B64403"/>
    <w:rsid w:val="36B91F07"/>
    <w:rsid w:val="36BB69D9"/>
    <w:rsid w:val="36BC1ADA"/>
    <w:rsid w:val="36C53E1E"/>
    <w:rsid w:val="36C65164"/>
    <w:rsid w:val="36CA0AA6"/>
    <w:rsid w:val="36CA535B"/>
    <w:rsid w:val="36CB1C2C"/>
    <w:rsid w:val="36CB2B2F"/>
    <w:rsid w:val="36D452E6"/>
    <w:rsid w:val="36DD59AF"/>
    <w:rsid w:val="36F60D45"/>
    <w:rsid w:val="36F979CE"/>
    <w:rsid w:val="36FC579D"/>
    <w:rsid w:val="370D666A"/>
    <w:rsid w:val="371C4407"/>
    <w:rsid w:val="37200ED3"/>
    <w:rsid w:val="372C44CB"/>
    <w:rsid w:val="37315E08"/>
    <w:rsid w:val="37367630"/>
    <w:rsid w:val="37385903"/>
    <w:rsid w:val="374817AC"/>
    <w:rsid w:val="3748496E"/>
    <w:rsid w:val="3749057A"/>
    <w:rsid w:val="37545255"/>
    <w:rsid w:val="3759670B"/>
    <w:rsid w:val="375B7C0B"/>
    <w:rsid w:val="376B428F"/>
    <w:rsid w:val="377106E5"/>
    <w:rsid w:val="37746054"/>
    <w:rsid w:val="377B489D"/>
    <w:rsid w:val="37926C17"/>
    <w:rsid w:val="37981CC8"/>
    <w:rsid w:val="37996316"/>
    <w:rsid w:val="37A41F82"/>
    <w:rsid w:val="37A77445"/>
    <w:rsid w:val="37B566B3"/>
    <w:rsid w:val="37B7328E"/>
    <w:rsid w:val="37B7766C"/>
    <w:rsid w:val="37BE78F7"/>
    <w:rsid w:val="37BF798B"/>
    <w:rsid w:val="37C11769"/>
    <w:rsid w:val="37C1315F"/>
    <w:rsid w:val="37C23F8F"/>
    <w:rsid w:val="37C80276"/>
    <w:rsid w:val="37C80B6E"/>
    <w:rsid w:val="37C86CAA"/>
    <w:rsid w:val="37CA4B59"/>
    <w:rsid w:val="37D9256B"/>
    <w:rsid w:val="37DF110E"/>
    <w:rsid w:val="37E56EC1"/>
    <w:rsid w:val="37ED2FAB"/>
    <w:rsid w:val="37EE2535"/>
    <w:rsid w:val="37F67E4C"/>
    <w:rsid w:val="38025C72"/>
    <w:rsid w:val="38071E6D"/>
    <w:rsid w:val="380C2567"/>
    <w:rsid w:val="380F190D"/>
    <w:rsid w:val="38111B40"/>
    <w:rsid w:val="38161547"/>
    <w:rsid w:val="38201FEF"/>
    <w:rsid w:val="383261C8"/>
    <w:rsid w:val="38356875"/>
    <w:rsid w:val="383655F2"/>
    <w:rsid w:val="38391E42"/>
    <w:rsid w:val="383D1C24"/>
    <w:rsid w:val="3843776D"/>
    <w:rsid w:val="38443B46"/>
    <w:rsid w:val="38476191"/>
    <w:rsid w:val="3848423E"/>
    <w:rsid w:val="384A0106"/>
    <w:rsid w:val="384A3492"/>
    <w:rsid w:val="384C6518"/>
    <w:rsid w:val="384F1119"/>
    <w:rsid w:val="385E7E90"/>
    <w:rsid w:val="386C7B91"/>
    <w:rsid w:val="387658DF"/>
    <w:rsid w:val="387A0FDB"/>
    <w:rsid w:val="388502AF"/>
    <w:rsid w:val="38872977"/>
    <w:rsid w:val="388C32AF"/>
    <w:rsid w:val="388F388E"/>
    <w:rsid w:val="3892462D"/>
    <w:rsid w:val="38955E11"/>
    <w:rsid w:val="38981115"/>
    <w:rsid w:val="389D6C69"/>
    <w:rsid w:val="389E2802"/>
    <w:rsid w:val="38A032DC"/>
    <w:rsid w:val="38A36E31"/>
    <w:rsid w:val="38A96163"/>
    <w:rsid w:val="38AC3DE9"/>
    <w:rsid w:val="38AE4D5A"/>
    <w:rsid w:val="38B810F5"/>
    <w:rsid w:val="38C21DAC"/>
    <w:rsid w:val="38D13EBF"/>
    <w:rsid w:val="38D35429"/>
    <w:rsid w:val="38D86656"/>
    <w:rsid w:val="38D97B90"/>
    <w:rsid w:val="38DF7FF9"/>
    <w:rsid w:val="38E2203F"/>
    <w:rsid w:val="38E378F8"/>
    <w:rsid w:val="38E401A6"/>
    <w:rsid w:val="38EC5D63"/>
    <w:rsid w:val="38EC7B5D"/>
    <w:rsid w:val="38F30188"/>
    <w:rsid w:val="38F40FFF"/>
    <w:rsid w:val="38F45A3C"/>
    <w:rsid w:val="38F55D42"/>
    <w:rsid w:val="38F71643"/>
    <w:rsid w:val="38F855A0"/>
    <w:rsid w:val="38FF5A7F"/>
    <w:rsid w:val="39083606"/>
    <w:rsid w:val="39086B58"/>
    <w:rsid w:val="390B2B0F"/>
    <w:rsid w:val="391023C5"/>
    <w:rsid w:val="39153D76"/>
    <w:rsid w:val="391948B2"/>
    <w:rsid w:val="39216C0F"/>
    <w:rsid w:val="39296418"/>
    <w:rsid w:val="393825C4"/>
    <w:rsid w:val="393E399D"/>
    <w:rsid w:val="393F4A55"/>
    <w:rsid w:val="39471139"/>
    <w:rsid w:val="39485F98"/>
    <w:rsid w:val="394A11A9"/>
    <w:rsid w:val="39541AC3"/>
    <w:rsid w:val="39575392"/>
    <w:rsid w:val="39591EEF"/>
    <w:rsid w:val="395B53C1"/>
    <w:rsid w:val="395C0694"/>
    <w:rsid w:val="395C59E8"/>
    <w:rsid w:val="39604549"/>
    <w:rsid w:val="3965228B"/>
    <w:rsid w:val="39670ED0"/>
    <w:rsid w:val="39674D13"/>
    <w:rsid w:val="396A5A93"/>
    <w:rsid w:val="397500E2"/>
    <w:rsid w:val="397833EE"/>
    <w:rsid w:val="397C38BB"/>
    <w:rsid w:val="39825AFA"/>
    <w:rsid w:val="39891567"/>
    <w:rsid w:val="398A18EE"/>
    <w:rsid w:val="399552F9"/>
    <w:rsid w:val="399F3D30"/>
    <w:rsid w:val="39A668ED"/>
    <w:rsid w:val="39A76767"/>
    <w:rsid w:val="39A96AAC"/>
    <w:rsid w:val="39AA58FA"/>
    <w:rsid w:val="39AC171B"/>
    <w:rsid w:val="39B122A2"/>
    <w:rsid w:val="39B407D7"/>
    <w:rsid w:val="39B925E1"/>
    <w:rsid w:val="39B95435"/>
    <w:rsid w:val="39EB222D"/>
    <w:rsid w:val="39ED2062"/>
    <w:rsid w:val="39F13D87"/>
    <w:rsid w:val="39F57DEB"/>
    <w:rsid w:val="39FF6A0D"/>
    <w:rsid w:val="3A036993"/>
    <w:rsid w:val="3A0715FF"/>
    <w:rsid w:val="3A07618B"/>
    <w:rsid w:val="3A080C7E"/>
    <w:rsid w:val="3A0A6EC7"/>
    <w:rsid w:val="3A0C32E2"/>
    <w:rsid w:val="3A0E5EAD"/>
    <w:rsid w:val="3A16787E"/>
    <w:rsid w:val="3A1C21A8"/>
    <w:rsid w:val="3A1D5BF0"/>
    <w:rsid w:val="3A1F051C"/>
    <w:rsid w:val="3A2663EB"/>
    <w:rsid w:val="3A2B1C7B"/>
    <w:rsid w:val="3A2E4365"/>
    <w:rsid w:val="3A305785"/>
    <w:rsid w:val="3A32158C"/>
    <w:rsid w:val="3A386D20"/>
    <w:rsid w:val="3A3B467D"/>
    <w:rsid w:val="3A3D262F"/>
    <w:rsid w:val="3A444107"/>
    <w:rsid w:val="3A4778AC"/>
    <w:rsid w:val="3A484B88"/>
    <w:rsid w:val="3A484E21"/>
    <w:rsid w:val="3A584864"/>
    <w:rsid w:val="3A5919A5"/>
    <w:rsid w:val="3A5E7969"/>
    <w:rsid w:val="3A752CCA"/>
    <w:rsid w:val="3A765C48"/>
    <w:rsid w:val="3A7B345F"/>
    <w:rsid w:val="3A86466B"/>
    <w:rsid w:val="3A866BC6"/>
    <w:rsid w:val="3A88283F"/>
    <w:rsid w:val="3A911FB9"/>
    <w:rsid w:val="3A935F2A"/>
    <w:rsid w:val="3A9527F8"/>
    <w:rsid w:val="3A9A2D6D"/>
    <w:rsid w:val="3A9B7985"/>
    <w:rsid w:val="3AA02C4D"/>
    <w:rsid w:val="3AA31C3C"/>
    <w:rsid w:val="3AA65205"/>
    <w:rsid w:val="3AAD5DFF"/>
    <w:rsid w:val="3AB62F86"/>
    <w:rsid w:val="3AB9534A"/>
    <w:rsid w:val="3AC32C04"/>
    <w:rsid w:val="3ACA2D53"/>
    <w:rsid w:val="3ACA366C"/>
    <w:rsid w:val="3AD26D19"/>
    <w:rsid w:val="3AD31460"/>
    <w:rsid w:val="3ADC502B"/>
    <w:rsid w:val="3AE04C5C"/>
    <w:rsid w:val="3AEA6F2D"/>
    <w:rsid w:val="3AEC78E4"/>
    <w:rsid w:val="3AF17025"/>
    <w:rsid w:val="3AF71619"/>
    <w:rsid w:val="3B0309CB"/>
    <w:rsid w:val="3B0A7CDB"/>
    <w:rsid w:val="3B0C7433"/>
    <w:rsid w:val="3B1332A8"/>
    <w:rsid w:val="3B2B5E00"/>
    <w:rsid w:val="3B2B7692"/>
    <w:rsid w:val="3B312F5D"/>
    <w:rsid w:val="3B422F9F"/>
    <w:rsid w:val="3B4A01D4"/>
    <w:rsid w:val="3B5110FF"/>
    <w:rsid w:val="3B521681"/>
    <w:rsid w:val="3B522568"/>
    <w:rsid w:val="3B592662"/>
    <w:rsid w:val="3B5D6AB6"/>
    <w:rsid w:val="3B652526"/>
    <w:rsid w:val="3B713C84"/>
    <w:rsid w:val="3B7425A9"/>
    <w:rsid w:val="3B7753C4"/>
    <w:rsid w:val="3B893A66"/>
    <w:rsid w:val="3B8D278A"/>
    <w:rsid w:val="3B9002D8"/>
    <w:rsid w:val="3BA01064"/>
    <w:rsid w:val="3BA46E0D"/>
    <w:rsid w:val="3BA97495"/>
    <w:rsid w:val="3BAD4688"/>
    <w:rsid w:val="3BB405C4"/>
    <w:rsid w:val="3BC031A2"/>
    <w:rsid w:val="3BC14262"/>
    <w:rsid w:val="3BC8416D"/>
    <w:rsid w:val="3BCD5F27"/>
    <w:rsid w:val="3BCE5246"/>
    <w:rsid w:val="3BD615F4"/>
    <w:rsid w:val="3BDC505F"/>
    <w:rsid w:val="3BE3108A"/>
    <w:rsid w:val="3BF13E9D"/>
    <w:rsid w:val="3BF820DF"/>
    <w:rsid w:val="3BF872F0"/>
    <w:rsid w:val="3C024E41"/>
    <w:rsid w:val="3C112A73"/>
    <w:rsid w:val="3C132F78"/>
    <w:rsid w:val="3C21141C"/>
    <w:rsid w:val="3C244BC9"/>
    <w:rsid w:val="3C3A5460"/>
    <w:rsid w:val="3C3B3040"/>
    <w:rsid w:val="3C4140E5"/>
    <w:rsid w:val="3C493880"/>
    <w:rsid w:val="3C4B3834"/>
    <w:rsid w:val="3C554551"/>
    <w:rsid w:val="3C5773DC"/>
    <w:rsid w:val="3C596614"/>
    <w:rsid w:val="3C670EBF"/>
    <w:rsid w:val="3C6A0813"/>
    <w:rsid w:val="3C6C6989"/>
    <w:rsid w:val="3C783C99"/>
    <w:rsid w:val="3C875C09"/>
    <w:rsid w:val="3C9A1014"/>
    <w:rsid w:val="3C9A390C"/>
    <w:rsid w:val="3C9F3ED4"/>
    <w:rsid w:val="3CA903D3"/>
    <w:rsid w:val="3CAB1870"/>
    <w:rsid w:val="3CB34858"/>
    <w:rsid w:val="3CB809B7"/>
    <w:rsid w:val="3CB8688A"/>
    <w:rsid w:val="3CB90F2D"/>
    <w:rsid w:val="3CC441A0"/>
    <w:rsid w:val="3CC84876"/>
    <w:rsid w:val="3CCA6D5C"/>
    <w:rsid w:val="3CCC2374"/>
    <w:rsid w:val="3CD22856"/>
    <w:rsid w:val="3CE06825"/>
    <w:rsid w:val="3CE3559C"/>
    <w:rsid w:val="3CE578FF"/>
    <w:rsid w:val="3CEC0192"/>
    <w:rsid w:val="3CF970DE"/>
    <w:rsid w:val="3CFA1729"/>
    <w:rsid w:val="3CFA6C45"/>
    <w:rsid w:val="3CFD04AB"/>
    <w:rsid w:val="3D0115AC"/>
    <w:rsid w:val="3D060401"/>
    <w:rsid w:val="3D0A68AD"/>
    <w:rsid w:val="3D0E6036"/>
    <w:rsid w:val="3D147ED5"/>
    <w:rsid w:val="3D161F65"/>
    <w:rsid w:val="3D1D4005"/>
    <w:rsid w:val="3D2E3AFF"/>
    <w:rsid w:val="3D375810"/>
    <w:rsid w:val="3D515364"/>
    <w:rsid w:val="3D536BF6"/>
    <w:rsid w:val="3D65299D"/>
    <w:rsid w:val="3D7002C2"/>
    <w:rsid w:val="3D770DCA"/>
    <w:rsid w:val="3D780D83"/>
    <w:rsid w:val="3D7D1CE2"/>
    <w:rsid w:val="3D7E54CD"/>
    <w:rsid w:val="3D841C5A"/>
    <w:rsid w:val="3D8A1B84"/>
    <w:rsid w:val="3D905710"/>
    <w:rsid w:val="3D91524E"/>
    <w:rsid w:val="3DA043F3"/>
    <w:rsid w:val="3DA611ED"/>
    <w:rsid w:val="3DAC2E59"/>
    <w:rsid w:val="3DAE1CB9"/>
    <w:rsid w:val="3DB06A15"/>
    <w:rsid w:val="3DB07613"/>
    <w:rsid w:val="3DB07872"/>
    <w:rsid w:val="3DB644A1"/>
    <w:rsid w:val="3DB83F6A"/>
    <w:rsid w:val="3DBA63F4"/>
    <w:rsid w:val="3DBC549F"/>
    <w:rsid w:val="3DC07FD3"/>
    <w:rsid w:val="3DD249E0"/>
    <w:rsid w:val="3DD25A70"/>
    <w:rsid w:val="3DD40281"/>
    <w:rsid w:val="3DD436DE"/>
    <w:rsid w:val="3DDA1093"/>
    <w:rsid w:val="3DE57922"/>
    <w:rsid w:val="3DEA5222"/>
    <w:rsid w:val="3DEB2B9B"/>
    <w:rsid w:val="3DF40946"/>
    <w:rsid w:val="3DFD019E"/>
    <w:rsid w:val="3DFE0902"/>
    <w:rsid w:val="3E116C9B"/>
    <w:rsid w:val="3E124DCF"/>
    <w:rsid w:val="3E1E3713"/>
    <w:rsid w:val="3E2454EA"/>
    <w:rsid w:val="3E2F145B"/>
    <w:rsid w:val="3E2F68D0"/>
    <w:rsid w:val="3E3212E9"/>
    <w:rsid w:val="3E321DFB"/>
    <w:rsid w:val="3E3C3711"/>
    <w:rsid w:val="3E3E1756"/>
    <w:rsid w:val="3E431EC9"/>
    <w:rsid w:val="3E563101"/>
    <w:rsid w:val="3E57271F"/>
    <w:rsid w:val="3E593A84"/>
    <w:rsid w:val="3E5C4A76"/>
    <w:rsid w:val="3E672E82"/>
    <w:rsid w:val="3E6A3E7E"/>
    <w:rsid w:val="3E6E2467"/>
    <w:rsid w:val="3E7830D0"/>
    <w:rsid w:val="3E787F28"/>
    <w:rsid w:val="3E7B47E7"/>
    <w:rsid w:val="3E7B7B6D"/>
    <w:rsid w:val="3E7F0079"/>
    <w:rsid w:val="3E817414"/>
    <w:rsid w:val="3E944971"/>
    <w:rsid w:val="3E9B1377"/>
    <w:rsid w:val="3E9C7FD2"/>
    <w:rsid w:val="3EA24692"/>
    <w:rsid w:val="3EC11F08"/>
    <w:rsid w:val="3EC92342"/>
    <w:rsid w:val="3ECC5E15"/>
    <w:rsid w:val="3ECE2716"/>
    <w:rsid w:val="3ED46D63"/>
    <w:rsid w:val="3ED60EBD"/>
    <w:rsid w:val="3EDA759A"/>
    <w:rsid w:val="3EDC2013"/>
    <w:rsid w:val="3EE823FD"/>
    <w:rsid w:val="3EE82E68"/>
    <w:rsid w:val="3EEE4C2B"/>
    <w:rsid w:val="3EF91C93"/>
    <w:rsid w:val="3F03544B"/>
    <w:rsid w:val="3F092C0E"/>
    <w:rsid w:val="3F0E07A4"/>
    <w:rsid w:val="3F1A108D"/>
    <w:rsid w:val="3F250F2C"/>
    <w:rsid w:val="3F2B16DE"/>
    <w:rsid w:val="3F31483F"/>
    <w:rsid w:val="3F336778"/>
    <w:rsid w:val="3F365051"/>
    <w:rsid w:val="3F395583"/>
    <w:rsid w:val="3F3F4BF1"/>
    <w:rsid w:val="3F40798A"/>
    <w:rsid w:val="3F470D43"/>
    <w:rsid w:val="3F5377BC"/>
    <w:rsid w:val="3F553D74"/>
    <w:rsid w:val="3F573758"/>
    <w:rsid w:val="3F5A687F"/>
    <w:rsid w:val="3F642C09"/>
    <w:rsid w:val="3F673FC2"/>
    <w:rsid w:val="3F6A5DB1"/>
    <w:rsid w:val="3F6E7310"/>
    <w:rsid w:val="3F7036E2"/>
    <w:rsid w:val="3F72292C"/>
    <w:rsid w:val="3F7521CF"/>
    <w:rsid w:val="3F752CAB"/>
    <w:rsid w:val="3F791FF3"/>
    <w:rsid w:val="3F7B2335"/>
    <w:rsid w:val="3F7C3020"/>
    <w:rsid w:val="3F7F3FFE"/>
    <w:rsid w:val="3F8064D7"/>
    <w:rsid w:val="3F8300DD"/>
    <w:rsid w:val="3F90302C"/>
    <w:rsid w:val="3F912A3D"/>
    <w:rsid w:val="3F987DA1"/>
    <w:rsid w:val="3FA21BEC"/>
    <w:rsid w:val="3FAA1D82"/>
    <w:rsid w:val="3FAA799C"/>
    <w:rsid w:val="3FAB221E"/>
    <w:rsid w:val="3FAF3F4C"/>
    <w:rsid w:val="3FB17DC5"/>
    <w:rsid w:val="3FB24658"/>
    <w:rsid w:val="3FB56393"/>
    <w:rsid w:val="3FB81C58"/>
    <w:rsid w:val="3FBF0AD3"/>
    <w:rsid w:val="3FCE3583"/>
    <w:rsid w:val="3FCE76B0"/>
    <w:rsid w:val="3FCE7C1F"/>
    <w:rsid w:val="3FCF26F2"/>
    <w:rsid w:val="3FDF5186"/>
    <w:rsid w:val="3FDF624E"/>
    <w:rsid w:val="3FE470F7"/>
    <w:rsid w:val="3FE63642"/>
    <w:rsid w:val="3FF06B5D"/>
    <w:rsid w:val="3FF412DF"/>
    <w:rsid w:val="3FF92E9A"/>
    <w:rsid w:val="400847E4"/>
    <w:rsid w:val="400966B5"/>
    <w:rsid w:val="40135334"/>
    <w:rsid w:val="40184F2A"/>
    <w:rsid w:val="40196798"/>
    <w:rsid w:val="401E3DB1"/>
    <w:rsid w:val="401E6880"/>
    <w:rsid w:val="402329FF"/>
    <w:rsid w:val="40306453"/>
    <w:rsid w:val="4034337D"/>
    <w:rsid w:val="40347BE3"/>
    <w:rsid w:val="403B6180"/>
    <w:rsid w:val="40492D44"/>
    <w:rsid w:val="40536097"/>
    <w:rsid w:val="40590A3D"/>
    <w:rsid w:val="405B41A1"/>
    <w:rsid w:val="405E013E"/>
    <w:rsid w:val="406A0D0F"/>
    <w:rsid w:val="406E5F44"/>
    <w:rsid w:val="407420FB"/>
    <w:rsid w:val="40765B3B"/>
    <w:rsid w:val="407C24CF"/>
    <w:rsid w:val="40802E63"/>
    <w:rsid w:val="40806D30"/>
    <w:rsid w:val="40827F62"/>
    <w:rsid w:val="4085076A"/>
    <w:rsid w:val="40892DB1"/>
    <w:rsid w:val="408D400F"/>
    <w:rsid w:val="408D5519"/>
    <w:rsid w:val="40901345"/>
    <w:rsid w:val="40995EBB"/>
    <w:rsid w:val="40AF30BC"/>
    <w:rsid w:val="40B64663"/>
    <w:rsid w:val="40C06F28"/>
    <w:rsid w:val="40C224FC"/>
    <w:rsid w:val="40CC77A2"/>
    <w:rsid w:val="40CF189C"/>
    <w:rsid w:val="40D75C38"/>
    <w:rsid w:val="40D872E3"/>
    <w:rsid w:val="40DD4BFD"/>
    <w:rsid w:val="40DE6600"/>
    <w:rsid w:val="40E344A5"/>
    <w:rsid w:val="40EA43E4"/>
    <w:rsid w:val="40F9374E"/>
    <w:rsid w:val="40FC7EA0"/>
    <w:rsid w:val="40FE571C"/>
    <w:rsid w:val="410261F4"/>
    <w:rsid w:val="41027C8A"/>
    <w:rsid w:val="410D11EA"/>
    <w:rsid w:val="41130281"/>
    <w:rsid w:val="411D7D4D"/>
    <w:rsid w:val="41201982"/>
    <w:rsid w:val="413302CF"/>
    <w:rsid w:val="41334B86"/>
    <w:rsid w:val="41351C68"/>
    <w:rsid w:val="413709BF"/>
    <w:rsid w:val="413D3EC4"/>
    <w:rsid w:val="413E275E"/>
    <w:rsid w:val="41414E62"/>
    <w:rsid w:val="41493567"/>
    <w:rsid w:val="414C3628"/>
    <w:rsid w:val="41556B33"/>
    <w:rsid w:val="415C5B16"/>
    <w:rsid w:val="415E5520"/>
    <w:rsid w:val="415F772F"/>
    <w:rsid w:val="41630668"/>
    <w:rsid w:val="41653915"/>
    <w:rsid w:val="41656144"/>
    <w:rsid w:val="416F754E"/>
    <w:rsid w:val="41703104"/>
    <w:rsid w:val="417348A6"/>
    <w:rsid w:val="41780330"/>
    <w:rsid w:val="41854257"/>
    <w:rsid w:val="4188462B"/>
    <w:rsid w:val="418F41F4"/>
    <w:rsid w:val="418F7BCE"/>
    <w:rsid w:val="4190028C"/>
    <w:rsid w:val="41904E91"/>
    <w:rsid w:val="41956A0C"/>
    <w:rsid w:val="419B7FAB"/>
    <w:rsid w:val="419C3C6B"/>
    <w:rsid w:val="419D5870"/>
    <w:rsid w:val="41AD5D4C"/>
    <w:rsid w:val="41AE7837"/>
    <w:rsid w:val="41AF1E47"/>
    <w:rsid w:val="41B440BF"/>
    <w:rsid w:val="41B519BD"/>
    <w:rsid w:val="41BA67B5"/>
    <w:rsid w:val="41BA7E70"/>
    <w:rsid w:val="41BB23FB"/>
    <w:rsid w:val="41BF75B8"/>
    <w:rsid w:val="41C239F6"/>
    <w:rsid w:val="41D20325"/>
    <w:rsid w:val="41D27F4A"/>
    <w:rsid w:val="41D511B4"/>
    <w:rsid w:val="41D75D1B"/>
    <w:rsid w:val="41D8682D"/>
    <w:rsid w:val="41DB2819"/>
    <w:rsid w:val="41EA6CE6"/>
    <w:rsid w:val="41EE0D4F"/>
    <w:rsid w:val="41F12DDF"/>
    <w:rsid w:val="41F93799"/>
    <w:rsid w:val="41FC4161"/>
    <w:rsid w:val="41FC5218"/>
    <w:rsid w:val="41FD6AE6"/>
    <w:rsid w:val="420001D8"/>
    <w:rsid w:val="42052D95"/>
    <w:rsid w:val="42094A84"/>
    <w:rsid w:val="420B1123"/>
    <w:rsid w:val="420B4F14"/>
    <w:rsid w:val="420C1E89"/>
    <w:rsid w:val="42145BCB"/>
    <w:rsid w:val="421521B7"/>
    <w:rsid w:val="42240E5E"/>
    <w:rsid w:val="42254F5C"/>
    <w:rsid w:val="42274EE1"/>
    <w:rsid w:val="4234473C"/>
    <w:rsid w:val="423448AE"/>
    <w:rsid w:val="4237088B"/>
    <w:rsid w:val="423F01FA"/>
    <w:rsid w:val="424E52AA"/>
    <w:rsid w:val="42593001"/>
    <w:rsid w:val="42626593"/>
    <w:rsid w:val="426C21F7"/>
    <w:rsid w:val="426E21BA"/>
    <w:rsid w:val="42757EB7"/>
    <w:rsid w:val="427C1E25"/>
    <w:rsid w:val="427F5BEC"/>
    <w:rsid w:val="4281165B"/>
    <w:rsid w:val="42811E64"/>
    <w:rsid w:val="42847B82"/>
    <w:rsid w:val="428A429C"/>
    <w:rsid w:val="428B6885"/>
    <w:rsid w:val="428C7032"/>
    <w:rsid w:val="428F7ED5"/>
    <w:rsid w:val="42906A44"/>
    <w:rsid w:val="429B10FE"/>
    <w:rsid w:val="42A415DE"/>
    <w:rsid w:val="42A70633"/>
    <w:rsid w:val="42AC71BA"/>
    <w:rsid w:val="42AD6F0E"/>
    <w:rsid w:val="42AF531E"/>
    <w:rsid w:val="42BA6835"/>
    <w:rsid w:val="42BD3486"/>
    <w:rsid w:val="42C04384"/>
    <w:rsid w:val="42C050F5"/>
    <w:rsid w:val="42C14EA3"/>
    <w:rsid w:val="42C378D3"/>
    <w:rsid w:val="42CD6729"/>
    <w:rsid w:val="42D305CE"/>
    <w:rsid w:val="42D3635A"/>
    <w:rsid w:val="42E03F32"/>
    <w:rsid w:val="42E52701"/>
    <w:rsid w:val="42E53E10"/>
    <w:rsid w:val="42ED03DB"/>
    <w:rsid w:val="42EE66ED"/>
    <w:rsid w:val="42F25C4E"/>
    <w:rsid w:val="42F578C2"/>
    <w:rsid w:val="42FB5A6E"/>
    <w:rsid w:val="43053AE6"/>
    <w:rsid w:val="43085A3B"/>
    <w:rsid w:val="431061B2"/>
    <w:rsid w:val="4315036C"/>
    <w:rsid w:val="431B0884"/>
    <w:rsid w:val="431C5A07"/>
    <w:rsid w:val="43232324"/>
    <w:rsid w:val="43240EE6"/>
    <w:rsid w:val="4328604B"/>
    <w:rsid w:val="43290401"/>
    <w:rsid w:val="433A139B"/>
    <w:rsid w:val="433E3343"/>
    <w:rsid w:val="434116E3"/>
    <w:rsid w:val="43431B15"/>
    <w:rsid w:val="43490CE1"/>
    <w:rsid w:val="434D1E4D"/>
    <w:rsid w:val="43686B3C"/>
    <w:rsid w:val="436D08D3"/>
    <w:rsid w:val="436D5EC0"/>
    <w:rsid w:val="436E1808"/>
    <w:rsid w:val="436F1C8B"/>
    <w:rsid w:val="437539D0"/>
    <w:rsid w:val="43851064"/>
    <w:rsid w:val="43870512"/>
    <w:rsid w:val="438946C0"/>
    <w:rsid w:val="438D7468"/>
    <w:rsid w:val="438E4C57"/>
    <w:rsid w:val="438F1D9B"/>
    <w:rsid w:val="438F44B4"/>
    <w:rsid w:val="439067D5"/>
    <w:rsid w:val="43936914"/>
    <w:rsid w:val="43961351"/>
    <w:rsid w:val="43977D17"/>
    <w:rsid w:val="4399205D"/>
    <w:rsid w:val="439A7018"/>
    <w:rsid w:val="439B476E"/>
    <w:rsid w:val="43A33413"/>
    <w:rsid w:val="43AF5841"/>
    <w:rsid w:val="43B038A3"/>
    <w:rsid w:val="43B17C72"/>
    <w:rsid w:val="43B433FB"/>
    <w:rsid w:val="43B66DF2"/>
    <w:rsid w:val="43BF2D22"/>
    <w:rsid w:val="43C57353"/>
    <w:rsid w:val="43CE2C26"/>
    <w:rsid w:val="43D11EEE"/>
    <w:rsid w:val="43D51257"/>
    <w:rsid w:val="43D6593D"/>
    <w:rsid w:val="43DD6205"/>
    <w:rsid w:val="43E11930"/>
    <w:rsid w:val="43E20389"/>
    <w:rsid w:val="43EA409D"/>
    <w:rsid w:val="43F01409"/>
    <w:rsid w:val="43F02B03"/>
    <w:rsid w:val="43F07D1E"/>
    <w:rsid w:val="43F95D9B"/>
    <w:rsid w:val="43FB3001"/>
    <w:rsid w:val="440756EF"/>
    <w:rsid w:val="440F49DD"/>
    <w:rsid w:val="441058F2"/>
    <w:rsid w:val="44106909"/>
    <w:rsid w:val="441C1204"/>
    <w:rsid w:val="442B3E03"/>
    <w:rsid w:val="442E7966"/>
    <w:rsid w:val="4434221F"/>
    <w:rsid w:val="443A4243"/>
    <w:rsid w:val="443D5636"/>
    <w:rsid w:val="443E741B"/>
    <w:rsid w:val="444177EC"/>
    <w:rsid w:val="44417F14"/>
    <w:rsid w:val="44485DB0"/>
    <w:rsid w:val="444F28C7"/>
    <w:rsid w:val="4456483A"/>
    <w:rsid w:val="445700C3"/>
    <w:rsid w:val="445C5561"/>
    <w:rsid w:val="44611A8F"/>
    <w:rsid w:val="44627FA1"/>
    <w:rsid w:val="4466123C"/>
    <w:rsid w:val="446A16E3"/>
    <w:rsid w:val="446C25A0"/>
    <w:rsid w:val="447C75A6"/>
    <w:rsid w:val="44801198"/>
    <w:rsid w:val="44807937"/>
    <w:rsid w:val="44892A19"/>
    <w:rsid w:val="44897498"/>
    <w:rsid w:val="448D0CDC"/>
    <w:rsid w:val="44A0270A"/>
    <w:rsid w:val="44A05A59"/>
    <w:rsid w:val="44AB51EB"/>
    <w:rsid w:val="44B16E04"/>
    <w:rsid w:val="44BF355B"/>
    <w:rsid w:val="44C64698"/>
    <w:rsid w:val="44CB52DB"/>
    <w:rsid w:val="44CC1F43"/>
    <w:rsid w:val="44CF0A38"/>
    <w:rsid w:val="44E90835"/>
    <w:rsid w:val="44F25967"/>
    <w:rsid w:val="44F32BEA"/>
    <w:rsid w:val="44F40442"/>
    <w:rsid w:val="450E7E59"/>
    <w:rsid w:val="45157BFA"/>
    <w:rsid w:val="451C0059"/>
    <w:rsid w:val="45235936"/>
    <w:rsid w:val="452517F2"/>
    <w:rsid w:val="4528153E"/>
    <w:rsid w:val="45311463"/>
    <w:rsid w:val="453A36BE"/>
    <w:rsid w:val="453B6B17"/>
    <w:rsid w:val="45484802"/>
    <w:rsid w:val="454A5117"/>
    <w:rsid w:val="454C4F41"/>
    <w:rsid w:val="454E0E8E"/>
    <w:rsid w:val="454F3910"/>
    <w:rsid w:val="45501DAF"/>
    <w:rsid w:val="4561759E"/>
    <w:rsid w:val="456448D4"/>
    <w:rsid w:val="45685317"/>
    <w:rsid w:val="45735717"/>
    <w:rsid w:val="457748A7"/>
    <w:rsid w:val="457E5EAB"/>
    <w:rsid w:val="45816EE4"/>
    <w:rsid w:val="45853EBA"/>
    <w:rsid w:val="458C7895"/>
    <w:rsid w:val="459557C4"/>
    <w:rsid w:val="459718A4"/>
    <w:rsid w:val="459849EB"/>
    <w:rsid w:val="45AB43CF"/>
    <w:rsid w:val="45AE4BB8"/>
    <w:rsid w:val="45B80E28"/>
    <w:rsid w:val="45B843DD"/>
    <w:rsid w:val="45B8575C"/>
    <w:rsid w:val="45BC0EBC"/>
    <w:rsid w:val="45BE59F8"/>
    <w:rsid w:val="45C96577"/>
    <w:rsid w:val="45C97175"/>
    <w:rsid w:val="45CA3327"/>
    <w:rsid w:val="45CD453D"/>
    <w:rsid w:val="45D0505D"/>
    <w:rsid w:val="45D13337"/>
    <w:rsid w:val="45D1456B"/>
    <w:rsid w:val="45D53ED0"/>
    <w:rsid w:val="45D63A3D"/>
    <w:rsid w:val="45E53652"/>
    <w:rsid w:val="45E65E94"/>
    <w:rsid w:val="45F40E48"/>
    <w:rsid w:val="45FF1C64"/>
    <w:rsid w:val="45FF5546"/>
    <w:rsid w:val="4602116A"/>
    <w:rsid w:val="46093522"/>
    <w:rsid w:val="460D0BBF"/>
    <w:rsid w:val="46164CEE"/>
    <w:rsid w:val="4618043E"/>
    <w:rsid w:val="461E2AC4"/>
    <w:rsid w:val="4627206E"/>
    <w:rsid w:val="46366B3A"/>
    <w:rsid w:val="463A40F8"/>
    <w:rsid w:val="46471DDC"/>
    <w:rsid w:val="46477457"/>
    <w:rsid w:val="46483D4E"/>
    <w:rsid w:val="464F3C74"/>
    <w:rsid w:val="46555C66"/>
    <w:rsid w:val="4659447A"/>
    <w:rsid w:val="465F65E9"/>
    <w:rsid w:val="46601F98"/>
    <w:rsid w:val="46607B66"/>
    <w:rsid w:val="466744A5"/>
    <w:rsid w:val="46676DEC"/>
    <w:rsid w:val="466852D6"/>
    <w:rsid w:val="466D3342"/>
    <w:rsid w:val="46733C7A"/>
    <w:rsid w:val="467A3B2C"/>
    <w:rsid w:val="467D1B84"/>
    <w:rsid w:val="467F6A46"/>
    <w:rsid w:val="467F7DF6"/>
    <w:rsid w:val="46867C5A"/>
    <w:rsid w:val="468E146F"/>
    <w:rsid w:val="4691548C"/>
    <w:rsid w:val="46944FB7"/>
    <w:rsid w:val="46951F49"/>
    <w:rsid w:val="469607AB"/>
    <w:rsid w:val="469A1798"/>
    <w:rsid w:val="469D6F82"/>
    <w:rsid w:val="469D7A13"/>
    <w:rsid w:val="469F5845"/>
    <w:rsid w:val="46A016D6"/>
    <w:rsid w:val="46A17266"/>
    <w:rsid w:val="46A57889"/>
    <w:rsid w:val="46AA7451"/>
    <w:rsid w:val="46B841B6"/>
    <w:rsid w:val="46BE1F94"/>
    <w:rsid w:val="46C32F5E"/>
    <w:rsid w:val="46C4380F"/>
    <w:rsid w:val="46C56A2C"/>
    <w:rsid w:val="46C84C9D"/>
    <w:rsid w:val="46D30DD1"/>
    <w:rsid w:val="46D32D0F"/>
    <w:rsid w:val="46D35C01"/>
    <w:rsid w:val="46D454AE"/>
    <w:rsid w:val="46D672F1"/>
    <w:rsid w:val="46E31D58"/>
    <w:rsid w:val="46E730A0"/>
    <w:rsid w:val="46EA2657"/>
    <w:rsid w:val="46EB4B42"/>
    <w:rsid w:val="46ED38E1"/>
    <w:rsid w:val="46EE1440"/>
    <w:rsid w:val="46F741B4"/>
    <w:rsid w:val="46F8593B"/>
    <w:rsid w:val="47051FF9"/>
    <w:rsid w:val="47064012"/>
    <w:rsid w:val="470B4693"/>
    <w:rsid w:val="470D3F98"/>
    <w:rsid w:val="471B5C4A"/>
    <w:rsid w:val="47211EB7"/>
    <w:rsid w:val="472B6BD7"/>
    <w:rsid w:val="472B7DBA"/>
    <w:rsid w:val="472E6EE5"/>
    <w:rsid w:val="4733413D"/>
    <w:rsid w:val="473460BA"/>
    <w:rsid w:val="47376F62"/>
    <w:rsid w:val="47395CA0"/>
    <w:rsid w:val="47493D73"/>
    <w:rsid w:val="474E2477"/>
    <w:rsid w:val="47504C1F"/>
    <w:rsid w:val="47566A86"/>
    <w:rsid w:val="475A50CD"/>
    <w:rsid w:val="47647B18"/>
    <w:rsid w:val="476B0129"/>
    <w:rsid w:val="476D3123"/>
    <w:rsid w:val="476F41B8"/>
    <w:rsid w:val="4771744E"/>
    <w:rsid w:val="477C1B45"/>
    <w:rsid w:val="478274A8"/>
    <w:rsid w:val="47866426"/>
    <w:rsid w:val="4788034A"/>
    <w:rsid w:val="479009E9"/>
    <w:rsid w:val="479375A2"/>
    <w:rsid w:val="47963CDC"/>
    <w:rsid w:val="47966E90"/>
    <w:rsid w:val="47A52877"/>
    <w:rsid w:val="47A91A7D"/>
    <w:rsid w:val="47AF0807"/>
    <w:rsid w:val="47BA6C9F"/>
    <w:rsid w:val="47C16799"/>
    <w:rsid w:val="47C41DCA"/>
    <w:rsid w:val="47C43B0C"/>
    <w:rsid w:val="47C65AE0"/>
    <w:rsid w:val="47D253B7"/>
    <w:rsid w:val="47DA4B93"/>
    <w:rsid w:val="47DC518A"/>
    <w:rsid w:val="47DD6023"/>
    <w:rsid w:val="47E74774"/>
    <w:rsid w:val="47EC4143"/>
    <w:rsid w:val="47ED0A50"/>
    <w:rsid w:val="47F461D0"/>
    <w:rsid w:val="47F46D06"/>
    <w:rsid w:val="47F86CC9"/>
    <w:rsid w:val="47FE1851"/>
    <w:rsid w:val="47FE29B3"/>
    <w:rsid w:val="480811B3"/>
    <w:rsid w:val="480B3AA1"/>
    <w:rsid w:val="480C236A"/>
    <w:rsid w:val="481C4632"/>
    <w:rsid w:val="4821657F"/>
    <w:rsid w:val="48222E96"/>
    <w:rsid w:val="482B10B3"/>
    <w:rsid w:val="482E665C"/>
    <w:rsid w:val="48336280"/>
    <w:rsid w:val="48357330"/>
    <w:rsid w:val="483707AF"/>
    <w:rsid w:val="483A4A2F"/>
    <w:rsid w:val="483B5F04"/>
    <w:rsid w:val="483F37DC"/>
    <w:rsid w:val="48402A6B"/>
    <w:rsid w:val="4846427B"/>
    <w:rsid w:val="48496D26"/>
    <w:rsid w:val="484F28C5"/>
    <w:rsid w:val="48546983"/>
    <w:rsid w:val="485659D7"/>
    <w:rsid w:val="48581B22"/>
    <w:rsid w:val="48595AD5"/>
    <w:rsid w:val="485C5312"/>
    <w:rsid w:val="485D5AB3"/>
    <w:rsid w:val="486944C3"/>
    <w:rsid w:val="486A6174"/>
    <w:rsid w:val="486E7217"/>
    <w:rsid w:val="486F3974"/>
    <w:rsid w:val="486F7F36"/>
    <w:rsid w:val="48754442"/>
    <w:rsid w:val="4875648F"/>
    <w:rsid w:val="487E01F6"/>
    <w:rsid w:val="487E1B09"/>
    <w:rsid w:val="48805927"/>
    <w:rsid w:val="4880633E"/>
    <w:rsid w:val="488F0F45"/>
    <w:rsid w:val="489278D8"/>
    <w:rsid w:val="489A39A9"/>
    <w:rsid w:val="489A4491"/>
    <w:rsid w:val="489E3DFA"/>
    <w:rsid w:val="489F1A32"/>
    <w:rsid w:val="48A05DE9"/>
    <w:rsid w:val="48A44435"/>
    <w:rsid w:val="48B55EF2"/>
    <w:rsid w:val="48B672FF"/>
    <w:rsid w:val="48BA6CC4"/>
    <w:rsid w:val="48BC5246"/>
    <w:rsid w:val="48C11333"/>
    <w:rsid w:val="48C2304C"/>
    <w:rsid w:val="48CC0B96"/>
    <w:rsid w:val="48CC3541"/>
    <w:rsid w:val="48CC497C"/>
    <w:rsid w:val="48D75234"/>
    <w:rsid w:val="48D94054"/>
    <w:rsid w:val="48F576CF"/>
    <w:rsid w:val="490561FE"/>
    <w:rsid w:val="49063272"/>
    <w:rsid w:val="49096626"/>
    <w:rsid w:val="490A410D"/>
    <w:rsid w:val="490F09BF"/>
    <w:rsid w:val="49103B78"/>
    <w:rsid w:val="49136106"/>
    <w:rsid w:val="491F69AB"/>
    <w:rsid w:val="49304FB3"/>
    <w:rsid w:val="49356A5D"/>
    <w:rsid w:val="493B495E"/>
    <w:rsid w:val="493F43ED"/>
    <w:rsid w:val="494153E5"/>
    <w:rsid w:val="49490E94"/>
    <w:rsid w:val="4954480E"/>
    <w:rsid w:val="49554AA1"/>
    <w:rsid w:val="495653D1"/>
    <w:rsid w:val="49567AA8"/>
    <w:rsid w:val="49661EB6"/>
    <w:rsid w:val="49677A1D"/>
    <w:rsid w:val="496A3D31"/>
    <w:rsid w:val="496E375F"/>
    <w:rsid w:val="497063BD"/>
    <w:rsid w:val="497E63A5"/>
    <w:rsid w:val="49805BE9"/>
    <w:rsid w:val="49814DA0"/>
    <w:rsid w:val="49857FAC"/>
    <w:rsid w:val="49871696"/>
    <w:rsid w:val="49A64729"/>
    <w:rsid w:val="49AA1350"/>
    <w:rsid w:val="49AA6C98"/>
    <w:rsid w:val="49AB71AB"/>
    <w:rsid w:val="49AE04CC"/>
    <w:rsid w:val="49B82183"/>
    <w:rsid w:val="49C74CF0"/>
    <w:rsid w:val="49CB6D8C"/>
    <w:rsid w:val="49CE72FB"/>
    <w:rsid w:val="49D20412"/>
    <w:rsid w:val="49D4294D"/>
    <w:rsid w:val="49D527C7"/>
    <w:rsid w:val="49DE42FE"/>
    <w:rsid w:val="49DF74F1"/>
    <w:rsid w:val="49E76DEA"/>
    <w:rsid w:val="49EA27EE"/>
    <w:rsid w:val="49ED5C09"/>
    <w:rsid w:val="49F200B7"/>
    <w:rsid w:val="49FF1285"/>
    <w:rsid w:val="4A01569D"/>
    <w:rsid w:val="4A046701"/>
    <w:rsid w:val="4A0F6384"/>
    <w:rsid w:val="4A132E77"/>
    <w:rsid w:val="4A1A43D6"/>
    <w:rsid w:val="4A273A5C"/>
    <w:rsid w:val="4A2740EA"/>
    <w:rsid w:val="4A2B52DC"/>
    <w:rsid w:val="4A2D674F"/>
    <w:rsid w:val="4A340A7F"/>
    <w:rsid w:val="4A3E4AF4"/>
    <w:rsid w:val="4A3E693A"/>
    <w:rsid w:val="4A3F2E9C"/>
    <w:rsid w:val="4A41015F"/>
    <w:rsid w:val="4A420254"/>
    <w:rsid w:val="4A444F7F"/>
    <w:rsid w:val="4A4B19C0"/>
    <w:rsid w:val="4A4C2DBB"/>
    <w:rsid w:val="4A542947"/>
    <w:rsid w:val="4A5A0BC1"/>
    <w:rsid w:val="4A5B1FD4"/>
    <w:rsid w:val="4A655686"/>
    <w:rsid w:val="4A67536A"/>
    <w:rsid w:val="4A6C191B"/>
    <w:rsid w:val="4A6D4C3D"/>
    <w:rsid w:val="4A74186F"/>
    <w:rsid w:val="4A7A380E"/>
    <w:rsid w:val="4A7C0844"/>
    <w:rsid w:val="4A824ECC"/>
    <w:rsid w:val="4A826D07"/>
    <w:rsid w:val="4A9057B0"/>
    <w:rsid w:val="4A9068B2"/>
    <w:rsid w:val="4A99224D"/>
    <w:rsid w:val="4A997D13"/>
    <w:rsid w:val="4A9A6338"/>
    <w:rsid w:val="4A9E19B3"/>
    <w:rsid w:val="4AA60AFF"/>
    <w:rsid w:val="4AA63318"/>
    <w:rsid w:val="4AAA2AE6"/>
    <w:rsid w:val="4AAA5D79"/>
    <w:rsid w:val="4AB21250"/>
    <w:rsid w:val="4AB226FD"/>
    <w:rsid w:val="4AB31F70"/>
    <w:rsid w:val="4AB46698"/>
    <w:rsid w:val="4AB479AD"/>
    <w:rsid w:val="4ABA1183"/>
    <w:rsid w:val="4AC0663F"/>
    <w:rsid w:val="4AC43A5D"/>
    <w:rsid w:val="4AC61421"/>
    <w:rsid w:val="4ACC47B4"/>
    <w:rsid w:val="4ADC6DA1"/>
    <w:rsid w:val="4AE61EE5"/>
    <w:rsid w:val="4AE84C04"/>
    <w:rsid w:val="4AEC415E"/>
    <w:rsid w:val="4AED4883"/>
    <w:rsid w:val="4AEE3A57"/>
    <w:rsid w:val="4AF664DE"/>
    <w:rsid w:val="4AFC0B29"/>
    <w:rsid w:val="4AFD3595"/>
    <w:rsid w:val="4AFE2026"/>
    <w:rsid w:val="4AFF0DDF"/>
    <w:rsid w:val="4B06675B"/>
    <w:rsid w:val="4B071EA7"/>
    <w:rsid w:val="4B102858"/>
    <w:rsid w:val="4B1611A3"/>
    <w:rsid w:val="4B1A2EFA"/>
    <w:rsid w:val="4B226EBE"/>
    <w:rsid w:val="4B240CF1"/>
    <w:rsid w:val="4B25117C"/>
    <w:rsid w:val="4B253CE5"/>
    <w:rsid w:val="4B290C67"/>
    <w:rsid w:val="4B324B17"/>
    <w:rsid w:val="4B336219"/>
    <w:rsid w:val="4B360C7B"/>
    <w:rsid w:val="4B367311"/>
    <w:rsid w:val="4B402C96"/>
    <w:rsid w:val="4B405EF3"/>
    <w:rsid w:val="4B4240D4"/>
    <w:rsid w:val="4B4404C8"/>
    <w:rsid w:val="4B4B0302"/>
    <w:rsid w:val="4B4C672C"/>
    <w:rsid w:val="4B510F10"/>
    <w:rsid w:val="4B531C26"/>
    <w:rsid w:val="4B5B6CD4"/>
    <w:rsid w:val="4B691FB4"/>
    <w:rsid w:val="4B9163B2"/>
    <w:rsid w:val="4B963B79"/>
    <w:rsid w:val="4B9C4DBC"/>
    <w:rsid w:val="4BA046F4"/>
    <w:rsid w:val="4BB02CAA"/>
    <w:rsid w:val="4BB5060B"/>
    <w:rsid w:val="4BB74E73"/>
    <w:rsid w:val="4BC93FD8"/>
    <w:rsid w:val="4BCB3F14"/>
    <w:rsid w:val="4BCE1216"/>
    <w:rsid w:val="4BCE1742"/>
    <w:rsid w:val="4BD019F4"/>
    <w:rsid w:val="4BD870E0"/>
    <w:rsid w:val="4BD90B7C"/>
    <w:rsid w:val="4BDB4816"/>
    <w:rsid w:val="4BDC063A"/>
    <w:rsid w:val="4BDC4123"/>
    <w:rsid w:val="4BDE3B04"/>
    <w:rsid w:val="4BE53E7A"/>
    <w:rsid w:val="4BE813A6"/>
    <w:rsid w:val="4BE93CEF"/>
    <w:rsid w:val="4BEC0201"/>
    <w:rsid w:val="4BF53A06"/>
    <w:rsid w:val="4C024671"/>
    <w:rsid w:val="4C0401F2"/>
    <w:rsid w:val="4C081976"/>
    <w:rsid w:val="4C0B5075"/>
    <w:rsid w:val="4C0C1AF8"/>
    <w:rsid w:val="4C0E15A4"/>
    <w:rsid w:val="4C121826"/>
    <w:rsid w:val="4C12346F"/>
    <w:rsid w:val="4C130FFA"/>
    <w:rsid w:val="4C15602C"/>
    <w:rsid w:val="4C2179CF"/>
    <w:rsid w:val="4C253897"/>
    <w:rsid w:val="4C2C4396"/>
    <w:rsid w:val="4C3550F6"/>
    <w:rsid w:val="4C39645D"/>
    <w:rsid w:val="4C3D62EC"/>
    <w:rsid w:val="4C47583B"/>
    <w:rsid w:val="4C48215A"/>
    <w:rsid w:val="4C4B7E8A"/>
    <w:rsid w:val="4C507A89"/>
    <w:rsid w:val="4C582A94"/>
    <w:rsid w:val="4C5A4643"/>
    <w:rsid w:val="4C5D70FF"/>
    <w:rsid w:val="4C5E6245"/>
    <w:rsid w:val="4C692DEC"/>
    <w:rsid w:val="4C7475C0"/>
    <w:rsid w:val="4C8452F6"/>
    <w:rsid w:val="4C8513D2"/>
    <w:rsid w:val="4C9038A8"/>
    <w:rsid w:val="4CA16746"/>
    <w:rsid w:val="4CA3791B"/>
    <w:rsid w:val="4CA407F6"/>
    <w:rsid w:val="4CAD6B9D"/>
    <w:rsid w:val="4CAF3008"/>
    <w:rsid w:val="4CB31902"/>
    <w:rsid w:val="4CB80FA8"/>
    <w:rsid w:val="4CB82D1C"/>
    <w:rsid w:val="4CD71190"/>
    <w:rsid w:val="4CD914BA"/>
    <w:rsid w:val="4CE341F4"/>
    <w:rsid w:val="4CE4342E"/>
    <w:rsid w:val="4CE46BC2"/>
    <w:rsid w:val="4CE60820"/>
    <w:rsid w:val="4CE86CEC"/>
    <w:rsid w:val="4CE94100"/>
    <w:rsid w:val="4CEF4F4B"/>
    <w:rsid w:val="4CF541C0"/>
    <w:rsid w:val="4CF82009"/>
    <w:rsid w:val="4D066CD8"/>
    <w:rsid w:val="4D1C6EBE"/>
    <w:rsid w:val="4D24678E"/>
    <w:rsid w:val="4D263863"/>
    <w:rsid w:val="4D374745"/>
    <w:rsid w:val="4D3B1ED9"/>
    <w:rsid w:val="4D3F4038"/>
    <w:rsid w:val="4D3F47CB"/>
    <w:rsid w:val="4D4312A1"/>
    <w:rsid w:val="4D49083B"/>
    <w:rsid w:val="4D495887"/>
    <w:rsid w:val="4D511A34"/>
    <w:rsid w:val="4D630E97"/>
    <w:rsid w:val="4D6E710B"/>
    <w:rsid w:val="4D7210F8"/>
    <w:rsid w:val="4D76024F"/>
    <w:rsid w:val="4D841AA7"/>
    <w:rsid w:val="4D865ACB"/>
    <w:rsid w:val="4D897ECE"/>
    <w:rsid w:val="4D985344"/>
    <w:rsid w:val="4D9971E4"/>
    <w:rsid w:val="4D9C521F"/>
    <w:rsid w:val="4D9D0CE9"/>
    <w:rsid w:val="4DA5623E"/>
    <w:rsid w:val="4DA74020"/>
    <w:rsid w:val="4DA9231B"/>
    <w:rsid w:val="4DB0128A"/>
    <w:rsid w:val="4DBF31B1"/>
    <w:rsid w:val="4DC64010"/>
    <w:rsid w:val="4DC74DC7"/>
    <w:rsid w:val="4DC80AE7"/>
    <w:rsid w:val="4DC85D29"/>
    <w:rsid w:val="4DCA7139"/>
    <w:rsid w:val="4DCD20DB"/>
    <w:rsid w:val="4DD2369F"/>
    <w:rsid w:val="4DD34C0A"/>
    <w:rsid w:val="4DD77020"/>
    <w:rsid w:val="4DD84CAA"/>
    <w:rsid w:val="4DDC20B3"/>
    <w:rsid w:val="4DEF78E7"/>
    <w:rsid w:val="4DF6262C"/>
    <w:rsid w:val="4DF80F1A"/>
    <w:rsid w:val="4DF92CEE"/>
    <w:rsid w:val="4DFA2042"/>
    <w:rsid w:val="4DFC251F"/>
    <w:rsid w:val="4DFE7917"/>
    <w:rsid w:val="4E0535F4"/>
    <w:rsid w:val="4E0B4780"/>
    <w:rsid w:val="4E115B17"/>
    <w:rsid w:val="4E130004"/>
    <w:rsid w:val="4E1362D9"/>
    <w:rsid w:val="4E195516"/>
    <w:rsid w:val="4E1A5C77"/>
    <w:rsid w:val="4E1C119C"/>
    <w:rsid w:val="4E1D265F"/>
    <w:rsid w:val="4E25195F"/>
    <w:rsid w:val="4E311692"/>
    <w:rsid w:val="4E3343DD"/>
    <w:rsid w:val="4E3454A1"/>
    <w:rsid w:val="4E4F43BE"/>
    <w:rsid w:val="4E525E6D"/>
    <w:rsid w:val="4E5A1AAC"/>
    <w:rsid w:val="4E604BE6"/>
    <w:rsid w:val="4E620BA7"/>
    <w:rsid w:val="4E674053"/>
    <w:rsid w:val="4E675F70"/>
    <w:rsid w:val="4E6E4F97"/>
    <w:rsid w:val="4E76768A"/>
    <w:rsid w:val="4E796826"/>
    <w:rsid w:val="4E7A59AA"/>
    <w:rsid w:val="4E7B1EFA"/>
    <w:rsid w:val="4E8501F4"/>
    <w:rsid w:val="4E877B7D"/>
    <w:rsid w:val="4E9552B2"/>
    <w:rsid w:val="4E963B08"/>
    <w:rsid w:val="4E9A697F"/>
    <w:rsid w:val="4E9B0120"/>
    <w:rsid w:val="4EA17AF0"/>
    <w:rsid w:val="4EA23511"/>
    <w:rsid w:val="4EA60DCF"/>
    <w:rsid w:val="4EAE66AD"/>
    <w:rsid w:val="4EB536C3"/>
    <w:rsid w:val="4EB605FE"/>
    <w:rsid w:val="4EC01651"/>
    <w:rsid w:val="4EC91CB6"/>
    <w:rsid w:val="4ED00A7A"/>
    <w:rsid w:val="4ED01038"/>
    <w:rsid w:val="4ED10A99"/>
    <w:rsid w:val="4ED14E80"/>
    <w:rsid w:val="4ED76E8A"/>
    <w:rsid w:val="4EDB24EC"/>
    <w:rsid w:val="4EE475CD"/>
    <w:rsid w:val="4EE854F3"/>
    <w:rsid w:val="4EF6134A"/>
    <w:rsid w:val="4EFD2395"/>
    <w:rsid w:val="4EFE0992"/>
    <w:rsid w:val="4EFE65FF"/>
    <w:rsid w:val="4F03368A"/>
    <w:rsid w:val="4F065567"/>
    <w:rsid w:val="4F2B4B28"/>
    <w:rsid w:val="4F3327FD"/>
    <w:rsid w:val="4F3474DF"/>
    <w:rsid w:val="4F360BF4"/>
    <w:rsid w:val="4F374CFB"/>
    <w:rsid w:val="4F3758B0"/>
    <w:rsid w:val="4F391570"/>
    <w:rsid w:val="4F391A12"/>
    <w:rsid w:val="4F396529"/>
    <w:rsid w:val="4F3F58B4"/>
    <w:rsid w:val="4F467544"/>
    <w:rsid w:val="4F475C4C"/>
    <w:rsid w:val="4F4C201B"/>
    <w:rsid w:val="4F553197"/>
    <w:rsid w:val="4F577DFB"/>
    <w:rsid w:val="4F660092"/>
    <w:rsid w:val="4F712201"/>
    <w:rsid w:val="4F7146F9"/>
    <w:rsid w:val="4F742E4E"/>
    <w:rsid w:val="4F7D13D7"/>
    <w:rsid w:val="4F8E127B"/>
    <w:rsid w:val="4F9A1B4B"/>
    <w:rsid w:val="4F9B1494"/>
    <w:rsid w:val="4F9C2A1E"/>
    <w:rsid w:val="4F9C5BE3"/>
    <w:rsid w:val="4F9F04B7"/>
    <w:rsid w:val="4FA252ED"/>
    <w:rsid w:val="4FA5543B"/>
    <w:rsid w:val="4FA77A5C"/>
    <w:rsid w:val="4FA97ADE"/>
    <w:rsid w:val="4FAF5270"/>
    <w:rsid w:val="4FB64A96"/>
    <w:rsid w:val="4FB8023D"/>
    <w:rsid w:val="4FC02E4C"/>
    <w:rsid w:val="4FCD7CBD"/>
    <w:rsid w:val="4FD33836"/>
    <w:rsid w:val="4FD77A94"/>
    <w:rsid w:val="4FD8690E"/>
    <w:rsid w:val="4FDC7BE8"/>
    <w:rsid w:val="4FE2157F"/>
    <w:rsid w:val="4FEA45AF"/>
    <w:rsid w:val="4FEA6AF9"/>
    <w:rsid w:val="4FEE0B89"/>
    <w:rsid w:val="4FEE0C77"/>
    <w:rsid w:val="4FEE5CF9"/>
    <w:rsid w:val="4FFA5761"/>
    <w:rsid w:val="4FFE5B72"/>
    <w:rsid w:val="4FFF6DB7"/>
    <w:rsid w:val="50066EF8"/>
    <w:rsid w:val="500E7233"/>
    <w:rsid w:val="50123BC0"/>
    <w:rsid w:val="50125B57"/>
    <w:rsid w:val="5017246C"/>
    <w:rsid w:val="50207DDF"/>
    <w:rsid w:val="50215327"/>
    <w:rsid w:val="50244740"/>
    <w:rsid w:val="50250F5E"/>
    <w:rsid w:val="503B5860"/>
    <w:rsid w:val="50447585"/>
    <w:rsid w:val="50484ED7"/>
    <w:rsid w:val="50485A9C"/>
    <w:rsid w:val="504B2CFC"/>
    <w:rsid w:val="505A2719"/>
    <w:rsid w:val="505F266B"/>
    <w:rsid w:val="50643BE5"/>
    <w:rsid w:val="506955B5"/>
    <w:rsid w:val="506A0FF8"/>
    <w:rsid w:val="506B057F"/>
    <w:rsid w:val="506E0FE5"/>
    <w:rsid w:val="50967108"/>
    <w:rsid w:val="50983FF4"/>
    <w:rsid w:val="509D5828"/>
    <w:rsid w:val="50AB00D6"/>
    <w:rsid w:val="50AE4856"/>
    <w:rsid w:val="50B31600"/>
    <w:rsid w:val="50B421C0"/>
    <w:rsid w:val="50B70EA8"/>
    <w:rsid w:val="50B96F33"/>
    <w:rsid w:val="50BA6772"/>
    <w:rsid w:val="50BA6A29"/>
    <w:rsid w:val="50C83544"/>
    <w:rsid w:val="50CB601A"/>
    <w:rsid w:val="50CE351A"/>
    <w:rsid w:val="50D06815"/>
    <w:rsid w:val="50D2253B"/>
    <w:rsid w:val="50DC497A"/>
    <w:rsid w:val="50DE644E"/>
    <w:rsid w:val="50E51CD3"/>
    <w:rsid w:val="50E9548C"/>
    <w:rsid w:val="50E97079"/>
    <w:rsid w:val="50F74EA9"/>
    <w:rsid w:val="50F94ABA"/>
    <w:rsid w:val="50FB18C7"/>
    <w:rsid w:val="50FD6FAB"/>
    <w:rsid w:val="511164A6"/>
    <w:rsid w:val="51147954"/>
    <w:rsid w:val="511928E6"/>
    <w:rsid w:val="51193A2B"/>
    <w:rsid w:val="511950BF"/>
    <w:rsid w:val="51203A4C"/>
    <w:rsid w:val="51224563"/>
    <w:rsid w:val="5137623C"/>
    <w:rsid w:val="513B2854"/>
    <w:rsid w:val="513B6875"/>
    <w:rsid w:val="5144288F"/>
    <w:rsid w:val="5149473E"/>
    <w:rsid w:val="514A1934"/>
    <w:rsid w:val="51551C56"/>
    <w:rsid w:val="5156562C"/>
    <w:rsid w:val="51580054"/>
    <w:rsid w:val="515C124E"/>
    <w:rsid w:val="51607F5A"/>
    <w:rsid w:val="51654D70"/>
    <w:rsid w:val="516A5786"/>
    <w:rsid w:val="517F341F"/>
    <w:rsid w:val="518202BE"/>
    <w:rsid w:val="5186783E"/>
    <w:rsid w:val="518B58E0"/>
    <w:rsid w:val="51985237"/>
    <w:rsid w:val="519C68A1"/>
    <w:rsid w:val="519F5137"/>
    <w:rsid w:val="51A412E2"/>
    <w:rsid w:val="51B05A10"/>
    <w:rsid w:val="51B153B8"/>
    <w:rsid w:val="51B63180"/>
    <w:rsid w:val="51B818F1"/>
    <w:rsid w:val="51BE54C1"/>
    <w:rsid w:val="51BF0DBC"/>
    <w:rsid w:val="51C13359"/>
    <w:rsid w:val="51CD587D"/>
    <w:rsid w:val="51DB6090"/>
    <w:rsid w:val="51E119C5"/>
    <w:rsid w:val="51E14AA7"/>
    <w:rsid w:val="51E27537"/>
    <w:rsid w:val="51E42B83"/>
    <w:rsid w:val="51F451C7"/>
    <w:rsid w:val="51F66C89"/>
    <w:rsid w:val="51F95060"/>
    <w:rsid w:val="52000764"/>
    <w:rsid w:val="52022AE3"/>
    <w:rsid w:val="520424E3"/>
    <w:rsid w:val="520C5919"/>
    <w:rsid w:val="521029CD"/>
    <w:rsid w:val="5217477E"/>
    <w:rsid w:val="521E30A6"/>
    <w:rsid w:val="52237B17"/>
    <w:rsid w:val="52264041"/>
    <w:rsid w:val="52277C15"/>
    <w:rsid w:val="52313A50"/>
    <w:rsid w:val="52370865"/>
    <w:rsid w:val="523D58A7"/>
    <w:rsid w:val="52403FAA"/>
    <w:rsid w:val="524A3580"/>
    <w:rsid w:val="524D6857"/>
    <w:rsid w:val="52520744"/>
    <w:rsid w:val="525273BE"/>
    <w:rsid w:val="52527B51"/>
    <w:rsid w:val="52562525"/>
    <w:rsid w:val="52570256"/>
    <w:rsid w:val="525C611C"/>
    <w:rsid w:val="525E56B4"/>
    <w:rsid w:val="52621CB1"/>
    <w:rsid w:val="52633CA7"/>
    <w:rsid w:val="52652EC9"/>
    <w:rsid w:val="526F7A4D"/>
    <w:rsid w:val="52775481"/>
    <w:rsid w:val="52790752"/>
    <w:rsid w:val="527B49DA"/>
    <w:rsid w:val="527C2A9B"/>
    <w:rsid w:val="528933CB"/>
    <w:rsid w:val="52894A70"/>
    <w:rsid w:val="52924B69"/>
    <w:rsid w:val="52960A0E"/>
    <w:rsid w:val="52983A6D"/>
    <w:rsid w:val="5298788F"/>
    <w:rsid w:val="529E0B16"/>
    <w:rsid w:val="52A307C9"/>
    <w:rsid w:val="52A52369"/>
    <w:rsid w:val="52A61EC8"/>
    <w:rsid w:val="52BB6755"/>
    <w:rsid w:val="52C14A9E"/>
    <w:rsid w:val="52C20159"/>
    <w:rsid w:val="52C45482"/>
    <w:rsid w:val="52C50716"/>
    <w:rsid w:val="52CC6ACA"/>
    <w:rsid w:val="52CF41E8"/>
    <w:rsid w:val="52D20933"/>
    <w:rsid w:val="52D513F7"/>
    <w:rsid w:val="52DE2974"/>
    <w:rsid w:val="52EA4F53"/>
    <w:rsid w:val="52EB524A"/>
    <w:rsid w:val="52EC4975"/>
    <w:rsid w:val="52EF5058"/>
    <w:rsid w:val="52F41E4A"/>
    <w:rsid w:val="52F75AE5"/>
    <w:rsid w:val="52FC5712"/>
    <w:rsid w:val="52FE4C79"/>
    <w:rsid w:val="52FF69AE"/>
    <w:rsid w:val="530228C7"/>
    <w:rsid w:val="53042093"/>
    <w:rsid w:val="530804F5"/>
    <w:rsid w:val="53250E5A"/>
    <w:rsid w:val="532D7558"/>
    <w:rsid w:val="53330E1B"/>
    <w:rsid w:val="5337599F"/>
    <w:rsid w:val="533D0A90"/>
    <w:rsid w:val="534167F7"/>
    <w:rsid w:val="534E0588"/>
    <w:rsid w:val="534E2E4B"/>
    <w:rsid w:val="53533D68"/>
    <w:rsid w:val="53640E00"/>
    <w:rsid w:val="536F7331"/>
    <w:rsid w:val="537417A0"/>
    <w:rsid w:val="537C310C"/>
    <w:rsid w:val="53943EC5"/>
    <w:rsid w:val="53984DAD"/>
    <w:rsid w:val="53A25708"/>
    <w:rsid w:val="53B20987"/>
    <w:rsid w:val="53B44C3A"/>
    <w:rsid w:val="53B61EB6"/>
    <w:rsid w:val="53B826B3"/>
    <w:rsid w:val="53BE5FB8"/>
    <w:rsid w:val="53C13E09"/>
    <w:rsid w:val="53C337EA"/>
    <w:rsid w:val="53CD768A"/>
    <w:rsid w:val="53D440E3"/>
    <w:rsid w:val="53D50E72"/>
    <w:rsid w:val="53D577D4"/>
    <w:rsid w:val="53DA0B30"/>
    <w:rsid w:val="53DA605F"/>
    <w:rsid w:val="53DC0FBF"/>
    <w:rsid w:val="53DD7FB3"/>
    <w:rsid w:val="53E4121C"/>
    <w:rsid w:val="53E71BE1"/>
    <w:rsid w:val="53E823E9"/>
    <w:rsid w:val="53E87D95"/>
    <w:rsid w:val="53EA4A16"/>
    <w:rsid w:val="53EC2B31"/>
    <w:rsid w:val="53F42FD6"/>
    <w:rsid w:val="53F6220C"/>
    <w:rsid w:val="53FC4D19"/>
    <w:rsid w:val="53FF31E3"/>
    <w:rsid w:val="540362BC"/>
    <w:rsid w:val="540520DA"/>
    <w:rsid w:val="54075B5B"/>
    <w:rsid w:val="540B1B3E"/>
    <w:rsid w:val="54100828"/>
    <w:rsid w:val="541815BA"/>
    <w:rsid w:val="54191E64"/>
    <w:rsid w:val="54196AF5"/>
    <w:rsid w:val="541B4773"/>
    <w:rsid w:val="541E52D5"/>
    <w:rsid w:val="541F2B9C"/>
    <w:rsid w:val="541F4BD2"/>
    <w:rsid w:val="542127E0"/>
    <w:rsid w:val="542264F1"/>
    <w:rsid w:val="542642AC"/>
    <w:rsid w:val="542740E5"/>
    <w:rsid w:val="54275947"/>
    <w:rsid w:val="54297599"/>
    <w:rsid w:val="542A1A7C"/>
    <w:rsid w:val="54303C0B"/>
    <w:rsid w:val="543E1E60"/>
    <w:rsid w:val="54467085"/>
    <w:rsid w:val="544A2BF4"/>
    <w:rsid w:val="544D6BBE"/>
    <w:rsid w:val="544E27BE"/>
    <w:rsid w:val="545069B7"/>
    <w:rsid w:val="545F56B9"/>
    <w:rsid w:val="546932A4"/>
    <w:rsid w:val="546E43C6"/>
    <w:rsid w:val="54703444"/>
    <w:rsid w:val="54703464"/>
    <w:rsid w:val="54774451"/>
    <w:rsid w:val="547875EC"/>
    <w:rsid w:val="548411DA"/>
    <w:rsid w:val="54914D41"/>
    <w:rsid w:val="54932A6C"/>
    <w:rsid w:val="5494549D"/>
    <w:rsid w:val="549B7E6E"/>
    <w:rsid w:val="54A52DAC"/>
    <w:rsid w:val="54AA464A"/>
    <w:rsid w:val="54AB0EBA"/>
    <w:rsid w:val="54AB3880"/>
    <w:rsid w:val="54B0008E"/>
    <w:rsid w:val="54BB62AF"/>
    <w:rsid w:val="54C12AB8"/>
    <w:rsid w:val="54C40DFB"/>
    <w:rsid w:val="54C9247D"/>
    <w:rsid w:val="54D07229"/>
    <w:rsid w:val="54E07D26"/>
    <w:rsid w:val="54E4148C"/>
    <w:rsid w:val="54E6558E"/>
    <w:rsid w:val="54F175CD"/>
    <w:rsid w:val="54F86EE6"/>
    <w:rsid w:val="54FB5A98"/>
    <w:rsid w:val="55034C00"/>
    <w:rsid w:val="550E4252"/>
    <w:rsid w:val="55130C37"/>
    <w:rsid w:val="551B0882"/>
    <w:rsid w:val="551D4DCA"/>
    <w:rsid w:val="55221097"/>
    <w:rsid w:val="552267B7"/>
    <w:rsid w:val="55235DB1"/>
    <w:rsid w:val="55242FED"/>
    <w:rsid w:val="55262EE3"/>
    <w:rsid w:val="552E5209"/>
    <w:rsid w:val="552F1C26"/>
    <w:rsid w:val="5530358A"/>
    <w:rsid w:val="55335238"/>
    <w:rsid w:val="553A3040"/>
    <w:rsid w:val="553E5310"/>
    <w:rsid w:val="5544709D"/>
    <w:rsid w:val="55461926"/>
    <w:rsid w:val="55470886"/>
    <w:rsid w:val="55561D87"/>
    <w:rsid w:val="555D65E0"/>
    <w:rsid w:val="556017A1"/>
    <w:rsid w:val="556711D8"/>
    <w:rsid w:val="556906FB"/>
    <w:rsid w:val="55796CB0"/>
    <w:rsid w:val="557A40FC"/>
    <w:rsid w:val="557E1851"/>
    <w:rsid w:val="558303D2"/>
    <w:rsid w:val="55890CC3"/>
    <w:rsid w:val="558A6C7C"/>
    <w:rsid w:val="559B6C6F"/>
    <w:rsid w:val="55A133CC"/>
    <w:rsid w:val="55A66116"/>
    <w:rsid w:val="55A723CA"/>
    <w:rsid w:val="55B13F9B"/>
    <w:rsid w:val="55B20525"/>
    <w:rsid w:val="55BA390D"/>
    <w:rsid w:val="55C5331D"/>
    <w:rsid w:val="55D14AE6"/>
    <w:rsid w:val="55D25DF3"/>
    <w:rsid w:val="55D93B21"/>
    <w:rsid w:val="55DE3541"/>
    <w:rsid w:val="55E04D8F"/>
    <w:rsid w:val="55E205EA"/>
    <w:rsid w:val="55E379D4"/>
    <w:rsid w:val="55E66DC8"/>
    <w:rsid w:val="55E814AB"/>
    <w:rsid w:val="55EE2B25"/>
    <w:rsid w:val="55F41000"/>
    <w:rsid w:val="55F81126"/>
    <w:rsid w:val="55F9253B"/>
    <w:rsid w:val="55FC4A00"/>
    <w:rsid w:val="56002F8C"/>
    <w:rsid w:val="56034097"/>
    <w:rsid w:val="56056413"/>
    <w:rsid w:val="56066F9E"/>
    <w:rsid w:val="56090EF7"/>
    <w:rsid w:val="560D10DF"/>
    <w:rsid w:val="561331A8"/>
    <w:rsid w:val="561608E6"/>
    <w:rsid w:val="561E3E9B"/>
    <w:rsid w:val="56284559"/>
    <w:rsid w:val="56312370"/>
    <w:rsid w:val="56373384"/>
    <w:rsid w:val="56580AE1"/>
    <w:rsid w:val="565C14D2"/>
    <w:rsid w:val="565F2A28"/>
    <w:rsid w:val="56702A97"/>
    <w:rsid w:val="56702CA3"/>
    <w:rsid w:val="56736A8B"/>
    <w:rsid w:val="567C0C3E"/>
    <w:rsid w:val="567E5C07"/>
    <w:rsid w:val="567F696F"/>
    <w:rsid w:val="56933E01"/>
    <w:rsid w:val="56A0666F"/>
    <w:rsid w:val="56A103E3"/>
    <w:rsid w:val="56A42D7A"/>
    <w:rsid w:val="56AA5F75"/>
    <w:rsid w:val="56AC5ED0"/>
    <w:rsid w:val="56B62AA2"/>
    <w:rsid w:val="56BC510F"/>
    <w:rsid w:val="56C36F78"/>
    <w:rsid w:val="56CA72D3"/>
    <w:rsid w:val="56DA1D2E"/>
    <w:rsid w:val="56DD5D6F"/>
    <w:rsid w:val="56DE468D"/>
    <w:rsid w:val="56DF77B4"/>
    <w:rsid w:val="56E2081E"/>
    <w:rsid w:val="56E36F48"/>
    <w:rsid w:val="56E648E4"/>
    <w:rsid w:val="56E652DE"/>
    <w:rsid w:val="56E8331F"/>
    <w:rsid w:val="56EC2944"/>
    <w:rsid w:val="56F35790"/>
    <w:rsid w:val="56F56FF9"/>
    <w:rsid w:val="56FD08DB"/>
    <w:rsid w:val="5703433A"/>
    <w:rsid w:val="57035825"/>
    <w:rsid w:val="5704390F"/>
    <w:rsid w:val="57055F13"/>
    <w:rsid w:val="5706013F"/>
    <w:rsid w:val="5706053F"/>
    <w:rsid w:val="57080D76"/>
    <w:rsid w:val="570D1CEC"/>
    <w:rsid w:val="57106CE0"/>
    <w:rsid w:val="57122A24"/>
    <w:rsid w:val="571342F9"/>
    <w:rsid w:val="57136436"/>
    <w:rsid w:val="57141841"/>
    <w:rsid w:val="57181A0B"/>
    <w:rsid w:val="571C03EA"/>
    <w:rsid w:val="572312DA"/>
    <w:rsid w:val="572467F4"/>
    <w:rsid w:val="57264C89"/>
    <w:rsid w:val="57265206"/>
    <w:rsid w:val="57286DC0"/>
    <w:rsid w:val="572A7581"/>
    <w:rsid w:val="572B5180"/>
    <w:rsid w:val="573523E1"/>
    <w:rsid w:val="573A66F8"/>
    <w:rsid w:val="57521BC7"/>
    <w:rsid w:val="5754101B"/>
    <w:rsid w:val="5768048A"/>
    <w:rsid w:val="57682A3F"/>
    <w:rsid w:val="576F7461"/>
    <w:rsid w:val="57726BDE"/>
    <w:rsid w:val="578215E2"/>
    <w:rsid w:val="57846C64"/>
    <w:rsid w:val="57850884"/>
    <w:rsid w:val="57886F7A"/>
    <w:rsid w:val="578A09CD"/>
    <w:rsid w:val="57910ED9"/>
    <w:rsid w:val="5792558C"/>
    <w:rsid w:val="579665BA"/>
    <w:rsid w:val="57967D6A"/>
    <w:rsid w:val="57996DF4"/>
    <w:rsid w:val="579E2DF5"/>
    <w:rsid w:val="57AD3521"/>
    <w:rsid w:val="57B73709"/>
    <w:rsid w:val="57BD43AA"/>
    <w:rsid w:val="57C4307B"/>
    <w:rsid w:val="57C848D8"/>
    <w:rsid w:val="57CE4613"/>
    <w:rsid w:val="57CF3B89"/>
    <w:rsid w:val="57D235E4"/>
    <w:rsid w:val="57D26822"/>
    <w:rsid w:val="57D91622"/>
    <w:rsid w:val="57D91D4A"/>
    <w:rsid w:val="57DD301E"/>
    <w:rsid w:val="57E056CD"/>
    <w:rsid w:val="57E41B18"/>
    <w:rsid w:val="57F511EE"/>
    <w:rsid w:val="57FB0D76"/>
    <w:rsid w:val="57FC314B"/>
    <w:rsid w:val="57FD7FED"/>
    <w:rsid w:val="580837D8"/>
    <w:rsid w:val="580A106C"/>
    <w:rsid w:val="581C0AA4"/>
    <w:rsid w:val="581F6999"/>
    <w:rsid w:val="582434CB"/>
    <w:rsid w:val="582723EC"/>
    <w:rsid w:val="582B2B87"/>
    <w:rsid w:val="582E142E"/>
    <w:rsid w:val="582F73A1"/>
    <w:rsid w:val="583536D4"/>
    <w:rsid w:val="585130D5"/>
    <w:rsid w:val="58517AD3"/>
    <w:rsid w:val="585551F6"/>
    <w:rsid w:val="585C1634"/>
    <w:rsid w:val="585C7971"/>
    <w:rsid w:val="58620598"/>
    <w:rsid w:val="586533A9"/>
    <w:rsid w:val="586B5656"/>
    <w:rsid w:val="586F7795"/>
    <w:rsid w:val="587458DB"/>
    <w:rsid w:val="58804EBA"/>
    <w:rsid w:val="58853FDA"/>
    <w:rsid w:val="58865E6F"/>
    <w:rsid w:val="58875C1C"/>
    <w:rsid w:val="588C09D4"/>
    <w:rsid w:val="58916C59"/>
    <w:rsid w:val="589B3211"/>
    <w:rsid w:val="589E692D"/>
    <w:rsid w:val="58A0799B"/>
    <w:rsid w:val="58A12689"/>
    <w:rsid w:val="58AA0C2B"/>
    <w:rsid w:val="58AA65C0"/>
    <w:rsid w:val="58AC679C"/>
    <w:rsid w:val="58B3311E"/>
    <w:rsid w:val="58B34F73"/>
    <w:rsid w:val="58B44B06"/>
    <w:rsid w:val="58B5752E"/>
    <w:rsid w:val="58B86A7D"/>
    <w:rsid w:val="58BD4597"/>
    <w:rsid w:val="58BD754C"/>
    <w:rsid w:val="58BE19D5"/>
    <w:rsid w:val="58C40981"/>
    <w:rsid w:val="58CB7C93"/>
    <w:rsid w:val="58CF6B02"/>
    <w:rsid w:val="58D055F4"/>
    <w:rsid w:val="58D4059F"/>
    <w:rsid w:val="58D73731"/>
    <w:rsid w:val="58D85657"/>
    <w:rsid w:val="58D90B21"/>
    <w:rsid w:val="58DB66AB"/>
    <w:rsid w:val="58DD6BAD"/>
    <w:rsid w:val="58E96D46"/>
    <w:rsid w:val="58EB3C09"/>
    <w:rsid w:val="58FA0518"/>
    <w:rsid w:val="590327D9"/>
    <w:rsid w:val="590D32D2"/>
    <w:rsid w:val="5912120B"/>
    <w:rsid w:val="591731D9"/>
    <w:rsid w:val="591D0F60"/>
    <w:rsid w:val="5920508B"/>
    <w:rsid w:val="592160CA"/>
    <w:rsid w:val="592177FC"/>
    <w:rsid w:val="592311F8"/>
    <w:rsid w:val="5923264B"/>
    <w:rsid w:val="592A58F5"/>
    <w:rsid w:val="592D59DC"/>
    <w:rsid w:val="59353C5C"/>
    <w:rsid w:val="59510834"/>
    <w:rsid w:val="59607284"/>
    <w:rsid w:val="59676B0A"/>
    <w:rsid w:val="59761E56"/>
    <w:rsid w:val="59765EA8"/>
    <w:rsid w:val="59812DF9"/>
    <w:rsid w:val="5981735F"/>
    <w:rsid w:val="59826597"/>
    <w:rsid w:val="598C5A0F"/>
    <w:rsid w:val="598F30CA"/>
    <w:rsid w:val="59934559"/>
    <w:rsid w:val="5994358A"/>
    <w:rsid w:val="59996DA9"/>
    <w:rsid w:val="599E3513"/>
    <w:rsid w:val="59A01D98"/>
    <w:rsid w:val="59A10533"/>
    <w:rsid w:val="59A221C4"/>
    <w:rsid w:val="59A35E72"/>
    <w:rsid w:val="59AC79C1"/>
    <w:rsid w:val="59AE50C1"/>
    <w:rsid w:val="59AE5F11"/>
    <w:rsid w:val="59B55F44"/>
    <w:rsid w:val="59B6187B"/>
    <w:rsid w:val="59BC6BA7"/>
    <w:rsid w:val="59C169F9"/>
    <w:rsid w:val="59C5056A"/>
    <w:rsid w:val="59C966B0"/>
    <w:rsid w:val="59CB5DF6"/>
    <w:rsid w:val="59D87FB1"/>
    <w:rsid w:val="59E02754"/>
    <w:rsid w:val="59E629B7"/>
    <w:rsid w:val="59E809F6"/>
    <w:rsid w:val="59E87026"/>
    <w:rsid w:val="59ED6E0C"/>
    <w:rsid w:val="59F57CD4"/>
    <w:rsid w:val="59F732A6"/>
    <w:rsid w:val="59F73D96"/>
    <w:rsid w:val="59FC4642"/>
    <w:rsid w:val="59FD0C97"/>
    <w:rsid w:val="5A05042D"/>
    <w:rsid w:val="5A054C00"/>
    <w:rsid w:val="5A0F7D22"/>
    <w:rsid w:val="5A132CC7"/>
    <w:rsid w:val="5A136CBF"/>
    <w:rsid w:val="5A142930"/>
    <w:rsid w:val="5A2E27FC"/>
    <w:rsid w:val="5A3A5AEF"/>
    <w:rsid w:val="5A413C03"/>
    <w:rsid w:val="5A445162"/>
    <w:rsid w:val="5A4C4B68"/>
    <w:rsid w:val="5A4F70BE"/>
    <w:rsid w:val="5A5C7E2E"/>
    <w:rsid w:val="5A5E7F70"/>
    <w:rsid w:val="5A662D44"/>
    <w:rsid w:val="5A705B3D"/>
    <w:rsid w:val="5A7477F8"/>
    <w:rsid w:val="5A7705A7"/>
    <w:rsid w:val="5A7D61B6"/>
    <w:rsid w:val="5A855760"/>
    <w:rsid w:val="5A872EB0"/>
    <w:rsid w:val="5A892F0E"/>
    <w:rsid w:val="5A927B87"/>
    <w:rsid w:val="5A97539D"/>
    <w:rsid w:val="5A9B4B77"/>
    <w:rsid w:val="5A9C765D"/>
    <w:rsid w:val="5A9D24F0"/>
    <w:rsid w:val="5AA008E9"/>
    <w:rsid w:val="5AAE0A6F"/>
    <w:rsid w:val="5AB01079"/>
    <w:rsid w:val="5ABA2265"/>
    <w:rsid w:val="5ABF298C"/>
    <w:rsid w:val="5ABF6984"/>
    <w:rsid w:val="5AC15913"/>
    <w:rsid w:val="5AC32CBF"/>
    <w:rsid w:val="5AC77A1C"/>
    <w:rsid w:val="5ACF0318"/>
    <w:rsid w:val="5ADA02D3"/>
    <w:rsid w:val="5ADA26DF"/>
    <w:rsid w:val="5ADA6A1A"/>
    <w:rsid w:val="5ADF2C22"/>
    <w:rsid w:val="5AE36C7E"/>
    <w:rsid w:val="5AF234FF"/>
    <w:rsid w:val="5AF611E4"/>
    <w:rsid w:val="5B030BF9"/>
    <w:rsid w:val="5B0359C8"/>
    <w:rsid w:val="5B0A7748"/>
    <w:rsid w:val="5B0C0A05"/>
    <w:rsid w:val="5B0C5EB7"/>
    <w:rsid w:val="5B0D180B"/>
    <w:rsid w:val="5B0F10F6"/>
    <w:rsid w:val="5B0F23D0"/>
    <w:rsid w:val="5B1134F5"/>
    <w:rsid w:val="5B140651"/>
    <w:rsid w:val="5B1C1330"/>
    <w:rsid w:val="5B1E2281"/>
    <w:rsid w:val="5B1F49ED"/>
    <w:rsid w:val="5B200242"/>
    <w:rsid w:val="5B235A00"/>
    <w:rsid w:val="5B29256F"/>
    <w:rsid w:val="5B2B264A"/>
    <w:rsid w:val="5B301C5F"/>
    <w:rsid w:val="5B307CB1"/>
    <w:rsid w:val="5B3175F5"/>
    <w:rsid w:val="5B3D20F4"/>
    <w:rsid w:val="5B474B62"/>
    <w:rsid w:val="5B4D48F7"/>
    <w:rsid w:val="5B550B55"/>
    <w:rsid w:val="5B584DD0"/>
    <w:rsid w:val="5B604CDF"/>
    <w:rsid w:val="5B657492"/>
    <w:rsid w:val="5B6A7A16"/>
    <w:rsid w:val="5B735FF0"/>
    <w:rsid w:val="5B836749"/>
    <w:rsid w:val="5B8465F5"/>
    <w:rsid w:val="5B850B0C"/>
    <w:rsid w:val="5B850B5A"/>
    <w:rsid w:val="5B86544E"/>
    <w:rsid w:val="5B87196B"/>
    <w:rsid w:val="5B9235F4"/>
    <w:rsid w:val="5B956421"/>
    <w:rsid w:val="5B975142"/>
    <w:rsid w:val="5B9C0AB8"/>
    <w:rsid w:val="5B9C3B2F"/>
    <w:rsid w:val="5BA15903"/>
    <w:rsid w:val="5BA90EA1"/>
    <w:rsid w:val="5BA95136"/>
    <w:rsid w:val="5BB5241F"/>
    <w:rsid w:val="5BB65ECE"/>
    <w:rsid w:val="5BB8212C"/>
    <w:rsid w:val="5BC15EB8"/>
    <w:rsid w:val="5BC74859"/>
    <w:rsid w:val="5BCA00B7"/>
    <w:rsid w:val="5BCC0435"/>
    <w:rsid w:val="5BD30DD9"/>
    <w:rsid w:val="5BD7150F"/>
    <w:rsid w:val="5BD71569"/>
    <w:rsid w:val="5BD740EC"/>
    <w:rsid w:val="5BDB6915"/>
    <w:rsid w:val="5BDD35BA"/>
    <w:rsid w:val="5BDF7534"/>
    <w:rsid w:val="5BE6014B"/>
    <w:rsid w:val="5BEC2ABA"/>
    <w:rsid w:val="5BEE3A39"/>
    <w:rsid w:val="5BF415DD"/>
    <w:rsid w:val="5BF56B07"/>
    <w:rsid w:val="5BF61379"/>
    <w:rsid w:val="5BF87786"/>
    <w:rsid w:val="5BF963A5"/>
    <w:rsid w:val="5BF97E0E"/>
    <w:rsid w:val="5BFD3B7C"/>
    <w:rsid w:val="5C0346F9"/>
    <w:rsid w:val="5C087ECE"/>
    <w:rsid w:val="5C094964"/>
    <w:rsid w:val="5C1E27E9"/>
    <w:rsid w:val="5C24520F"/>
    <w:rsid w:val="5C306E9F"/>
    <w:rsid w:val="5C3106A9"/>
    <w:rsid w:val="5C341791"/>
    <w:rsid w:val="5C3C2A13"/>
    <w:rsid w:val="5C43267B"/>
    <w:rsid w:val="5C4B48C8"/>
    <w:rsid w:val="5C4C5CE3"/>
    <w:rsid w:val="5C545F58"/>
    <w:rsid w:val="5C5646B4"/>
    <w:rsid w:val="5C5B5829"/>
    <w:rsid w:val="5C660497"/>
    <w:rsid w:val="5C695A8C"/>
    <w:rsid w:val="5C6C3535"/>
    <w:rsid w:val="5C6C6BEE"/>
    <w:rsid w:val="5C721A44"/>
    <w:rsid w:val="5C793DB9"/>
    <w:rsid w:val="5C7C110B"/>
    <w:rsid w:val="5C8372EB"/>
    <w:rsid w:val="5C894887"/>
    <w:rsid w:val="5C90507C"/>
    <w:rsid w:val="5C96398F"/>
    <w:rsid w:val="5C9F2E73"/>
    <w:rsid w:val="5CA61855"/>
    <w:rsid w:val="5CA8185D"/>
    <w:rsid w:val="5CAE697B"/>
    <w:rsid w:val="5CB32206"/>
    <w:rsid w:val="5CB6567D"/>
    <w:rsid w:val="5CD00AAC"/>
    <w:rsid w:val="5CD06D65"/>
    <w:rsid w:val="5CD85B89"/>
    <w:rsid w:val="5CDB0FF2"/>
    <w:rsid w:val="5CDE4D32"/>
    <w:rsid w:val="5CE20A54"/>
    <w:rsid w:val="5CEC0EB0"/>
    <w:rsid w:val="5CEE788F"/>
    <w:rsid w:val="5CF0221E"/>
    <w:rsid w:val="5CF3257C"/>
    <w:rsid w:val="5CF957EF"/>
    <w:rsid w:val="5CFD4F72"/>
    <w:rsid w:val="5D022E59"/>
    <w:rsid w:val="5D0576FB"/>
    <w:rsid w:val="5D093D73"/>
    <w:rsid w:val="5D0D29BE"/>
    <w:rsid w:val="5D0E4435"/>
    <w:rsid w:val="5D1A5E38"/>
    <w:rsid w:val="5D1E23A3"/>
    <w:rsid w:val="5D1E2984"/>
    <w:rsid w:val="5D2075CD"/>
    <w:rsid w:val="5D230391"/>
    <w:rsid w:val="5D242D7D"/>
    <w:rsid w:val="5D275D89"/>
    <w:rsid w:val="5D2D0D77"/>
    <w:rsid w:val="5D2D5830"/>
    <w:rsid w:val="5D2D6A2A"/>
    <w:rsid w:val="5D314E09"/>
    <w:rsid w:val="5D384323"/>
    <w:rsid w:val="5D3D5E6A"/>
    <w:rsid w:val="5D42534E"/>
    <w:rsid w:val="5D430FD1"/>
    <w:rsid w:val="5D477ECE"/>
    <w:rsid w:val="5D4A7AC5"/>
    <w:rsid w:val="5D54012B"/>
    <w:rsid w:val="5D5572D2"/>
    <w:rsid w:val="5D5B1D99"/>
    <w:rsid w:val="5D651CB5"/>
    <w:rsid w:val="5D672597"/>
    <w:rsid w:val="5D675DCA"/>
    <w:rsid w:val="5D697955"/>
    <w:rsid w:val="5D6D14D3"/>
    <w:rsid w:val="5D72201E"/>
    <w:rsid w:val="5D745AE4"/>
    <w:rsid w:val="5D755468"/>
    <w:rsid w:val="5D7C6364"/>
    <w:rsid w:val="5D813887"/>
    <w:rsid w:val="5D834F4B"/>
    <w:rsid w:val="5D8727E5"/>
    <w:rsid w:val="5D893D4A"/>
    <w:rsid w:val="5D8C644D"/>
    <w:rsid w:val="5D9F0E03"/>
    <w:rsid w:val="5DA51F18"/>
    <w:rsid w:val="5DAE57FF"/>
    <w:rsid w:val="5DAE5A16"/>
    <w:rsid w:val="5DB95EAD"/>
    <w:rsid w:val="5DBC12EB"/>
    <w:rsid w:val="5DC03271"/>
    <w:rsid w:val="5DC62460"/>
    <w:rsid w:val="5DC63337"/>
    <w:rsid w:val="5DD1378D"/>
    <w:rsid w:val="5DD50E99"/>
    <w:rsid w:val="5DDC78DB"/>
    <w:rsid w:val="5DF03DA0"/>
    <w:rsid w:val="5DF6174F"/>
    <w:rsid w:val="5DF617F0"/>
    <w:rsid w:val="5DF71F9D"/>
    <w:rsid w:val="5DFE5C6C"/>
    <w:rsid w:val="5E033A16"/>
    <w:rsid w:val="5E100989"/>
    <w:rsid w:val="5E161B56"/>
    <w:rsid w:val="5E205AA8"/>
    <w:rsid w:val="5E2148A4"/>
    <w:rsid w:val="5E236C8D"/>
    <w:rsid w:val="5E264169"/>
    <w:rsid w:val="5E2D7853"/>
    <w:rsid w:val="5E332383"/>
    <w:rsid w:val="5E3420E6"/>
    <w:rsid w:val="5E3B7C64"/>
    <w:rsid w:val="5E3D19AC"/>
    <w:rsid w:val="5E3F47F3"/>
    <w:rsid w:val="5E411C36"/>
    <w:rsid w:val="5E473F24"/>
    <w:rsid w:val="5E526797"/>
    <w:rsid w:val="5E595F4C"/>
    <w:rsid w:val="5E5A0520"/>
    <w:rsid w:val="5E5C50BF"/>
    <w:rsid w:val="5E5F2136"/>
    <w:rsid w:val="5E5F7D1C"/>
    <w:rsid w:val="5E615E36"/>
    <w:rsid w:val="5E6425BF"/>
    <w:rsid w:val="5E65717E"/>
    <w:rsid w:val="5E7B58EC"/>
    <w:rsid w:val="5E7E23E2"/>
    <w:rsid w:val="5E7F0949"/>
    <w:rsid w:val="5E8A4453"/>
    <w:rsid w:val="5E8B09AD"/>
    <w:rsid w:val="5E9827DF"/>
    <w:rsid w:val="5E99069D"/>
    <w:rsid w:val="5E9F2284"/>
    <w:rsid w:val="5EA0471B"/>
    <w:rsid w:val="5EAB0CE1"/>
    <w:rsid w:val="5EAF0DEB"/>
    <w:rsid w:val="5EB36DCA"/>
    <w:rsid w:val="5EBE0468"/>
    <w:rsid w:val="5EC001BB"/>
    <w:rsid w:val="5EC32768"/>
    <w:rsid w:val="5EC36FD0"/>
    <w:rsid w:val="5EC410EE"/>
    <w:rsid w:val="5EC716A1"/>
    <w:rsid w:val="5EC71C04"/>
    <w:rsid w:val="5EC774A6"/>
    <w:rsid w:val="5EC80BAD"/>
    <w:rsid w:val="5ED04C8E"/>
    <w:rsid w:val="5ED17E65"/>
    <w:rsid w:val="5ED22552"/>
    <w:rsid w:val="5ED7111B"/>
    <w:rsid w:val="5EDE4204"/>
    <w:rsid w:val="5EE926E9"/>
    <w:rsid w:val="5EF02762"/>
    <w:rsid w:val="5EF20148"/>
    <w:rsid w:val="5EFC2113"/>
    <w:rsid w:val="5EFD47FD"/>
    <w:rsid w:val="5F0C66C2"/>
    <w:rsid w:val="5F115F7A"/>
    <w:rsid w:val="5F1C7A1F"/>
    <w:rsid w:val="5F1E4C5D"/>
    <w:rsid w:val="5F1F310E"/>
    <w:rsid w:val="5F225C6F"/>
    <w:rsid w:val="5F2742B1"/>
    <w:rsid w:val="5F2C2BF0"/>
    <w:rsid w:val="5F341FF4"/>
    <w:rsid w:val="5F397D45"/>
    <w:rsid w:val="5F3E523F"/>
    <w:rsid w:val="5F4420AB"/>
    <w:rsid w:val="5F450652"/>
    <w:rsid w:val="5F451B62"/>
    <w:rsid w:val="5F470C7F"/>
    <w:rsid w:val="5F4B313B"/>
    <w:rsid w:val="5F4F543A"/>
    <w:rsid w:val="5F4F5621"/>
    <w:rsid w:val="5F511BB1"/>
    <w:rsid w:val="5F56650F"/>
    <w:rsid w:val="5F5B4991"/>
    <w:rsid w:val="5F6072D3"/>
    <w:rsid w:val="5F62636E"/>
    <w:rsid w:val="5F644B93"/>
    <w:rsid w:val="5F6A3037"/>
    <w:rsid w:val="5F6D47BA"/>
    <w:rsid w:val="5F6E2DCA"/>
    <w:rsid w:val="5F6E6CD3"/>
    <w:rsid w:val="5F775180"/>
    <w:rsid w:val="5F79039A"/>
    <w:rsid w:val="5F7C6B30"/>
    <w:rsid w:val="5F8316BF"/>
    <w:rsid w:val="5F8A282E"/>
    <w:rsid w:val="5F900EE5"/>
    <w:rsid w:val="5F922542"/>
    <w:rsid w:val="5FAC730E"/>
    <w:rsid w:val="5FBD2BF9"/>
    <w:rsid w:val="5FC250AF"/>
    <w:rsid w:val="5FC952F0"/>
    <w:rsid w:val="5FD81B05"/>
    <w:rsid w:val="5FD90E7D"/>
    <w:rsid w:val="5FED76F1"/>
    <w:rsid w:val="5FF01193"/>
    <w:rsid w:val="5FF6336B"/>
    <w:rsid w:val="5FF75810"/>
    <w:rsid w:val="5FFB5E04"/>
    <w:rsid w:val="5FFD564F"/>
    <w:rsid w:val="60002026"/>
    <w:rsid w:val="600A68F3"/>
    <w:rsid w:val="600C6C27"/>
    <w:rsid w:val="60124971"/>
    <w:rsid w:val="60141C3C"/>
    <w:rsid w:val="601B395B"/>
    <w:rsid w:val="601D2F02"/>
    <w:rsid w:val="601F594B"/>
    <w:rsid w:val="602738A6"/>
    <w:rsid w:val="602C7A38"/>
    <w:rsid w:val="602F5DB6"/>
    <w:rsid w:val="60313E2E"/>
    <w:rsid w:val="60316E4F"/>
    <w:rsid w:val="60350B76"/>
    <w:rsid w:val="603A3035"/>
    <w:rsid w:val="603A5DB2"/>
    <w:rsid w:val="603B60D9"/>
    <w:rsid w:val="603D67F0"/>
    <w:rsid w:val="605706EA"/>
    <w:rsid w:val="605C06A5"/>
    <w:rsid w:val="605C602F"/>
    <w:rsid w:val="6063674F"/>
    <w:rsid w:val="60663109"/>
    <w:rsid w:val="606872E6"/>
    <w:rsid w:val="6075657D"/>
    <w:rsid w:val="60766609"/>
    <w:rsid w:val="6077213A"/>
    <w:rsid w:val="60783C7B"/>
    <w:rsid w:val="60792FA4"/>
    <w:rsid w:val="60921840"/>
    <w:rsid w:val="60926DB8"/>
    <w:rsid w:val="609E26E1"/>
    <w:rsid w:val="60AC1F87"/>
    <w:rsid w:val="60B46B15"/>
    <w:rsid w:val="60BE5EA9"/>
    <w:rsid w:val="60C76F73"/>
    <w:rsid w:val="60C924B9"/>
    <w:rsid w:val="60CD0CCA"/>
    <w:rsid w:val="60D00471"/>
    <w:rsid w:val="60D0455B"/>
    <w:rsid w:val="60D32795"/>
    <w:rsid w:val="60D806E3"/>
    <w:rsid w:val="60DC14CC"/>
    <w:rsid w:val="60E65742"/>
    <w:rsid w:val="60F2074A"/>
    <w:rsid w:val="60F276A8"/>
    <w:rsid w:val="60FF30E9"/>
    <w:rsid w:val="610F37DD"/>
    <w:rsid w:val="611109B7"/>
    <w:rsid w:val="612400B1"/>
    <w:rsid w:val="612537AE"/>
    <w:rsid w:val="61275924"/>
    <w:rsid w:val="61297814"/>
    <w:rsid w:val="6131152F"/>
    <w:rsid w:val="61314A3A"/>
    <w:rsid w:val="6133736A"/>
    <w:rsid w:val="613A3980"/>
    <w:rsid w:val="613D0186"/>
    <w:rsid w:val="613D020A"/>
    <w:rsid w:val="6141098D"/>
    <w:rsid w:val="614501E7"/>
    <w:rsid w:val="6145188D"/>
    <w:rsid w:val="615138FD"/>
    <w:rsid w:val="61531DB2"/>
    <w:rsid w:val="6153372E"/>
    <w:rsid w:val="615B0088"/>
    <w:rsid w:val="6160719B"/>
    <w:rsid w:val="616B445D"/>
    <w:rsid w:val="6171543F"/>
    <w:rsid w:val="61727C85"/>
    <w:rsid w:val="617A7BF1"/>
    <w:rsid w:val="6182336D"/>
    <w:rsid w:val="61875AB2"/>
    <w:rsid w:val="619448FF"/>
    <w:rsid w:val="6199505C"/>
    <w:rsid w:val="619D2DAE"/>
    <w:rsid w:val="61A575A0"/>
    <w:rsid w:val="61AF3C45"/>
    <w:rsid w:val="61B02AA7"/>
    <w:rsid w:val="61B647F1"/>
    <w:rsid w:val="61C0627E"/>
    <w:rsid w:val="61C20BC8"/>
    <w:rsid w:val="61C54B54"/>
    <w:rsid w:val="61C806A8"/>
    <w:rsid w:val="61C85B59"/>
    <w:rsid w:val="61DF2556"/>
    <w:rsid w:val="61E86BF5"/>
    <w:rsid w:val="61FE06C1"/>
    <w:rsid w:val="62041FB9"/>
    <w:rsid w:val="620B6566"/>
    <w:rsid w:val="620C516A"/>
    <w:rsid w:val="6214676A"/>
    <w:rsid w:val="62162C8E"/>
    <w:rsid w:val="621C53B2"/>
    <w:rsid w:val="621E18B8"/>
    <w:rsid w:val="622021EE"/>
    <w:rsid w:val="622E58C5"/>
    <w:rsid w:val="62327288"/>
    <w:rsid w:val="62477D14"/>
    <w:rsid w:val="624D66E9"/>
    <w:rsid w:val="62585428"/>
    <w:rsid w:val="625D0527"/>
    <w:rsid w:val="625D79A3"/>
    <w:rsid w:val="625E2366"/>
    <w:rsid w:val="625E3C6B"/>
    <w:rsid w:val="625F06CB"/>
    <w:rsid w:val="626A0E6E"/>
    <w:rsid w:val="626A446B"/>
    <w:rsid w:val="626B0F0E"/>
    <w:rsid w:val="626B5A5E"/>
    <w:rsid w:val="626C5EDA"/>
    <w:rsid w:val="62720A8E"/>
    <w:rsid w:val="62721D07"/>
    <w:rsid w:val="627403C2"/>
    <w:rsid w:val="62752E1F"/>
    <w:rsid w:val="62757EC3"/>
    <w:rsid w:val="628140A6"/>
    <w:rsid w:val="628454E2"/>
    <w:rsid w:val="628D5290"/>
    <w:rsid w:val="628E21D2"/>
    <w:rsid w:val="628E328B"/>
    <w:rsid w:val="6291451A"/>
    <w:rsid w:val="629D77DB"/>
    <w:rsid w:val="62A56970"/>
    <w:rsid w:val="62AB6F11"/>
    <w:rsid w:val="62B32CEF"/>
    <w:rsid w:val="62BB66F3"/>
    <w:rsid w:val="62BD6C68"/>
    <w:rsid w:val="62BE386F"/>
    <w:rsid w:val="62BE511E"/>
    <w:rsid w:val="62C5067E"/>
    <w:rsid w:val="62CA0DF4"/>
    <w:rsid w:val="62CC33D6"/>
    <w:rsid w:val="62CD0B85"/>
    <w:rsid w:val="62D2097A"/>
    <w:rsid w:val="62D43528"/>
    <w:rsid w:val="62DD0B0B"/>
    <w:rsid w:val="62DF529A"/>
    <w:rsid w:val="62E24C15"/>
    <w:rsid w:val="62E26FCA"/>
    <w:rsid w:val="62E475FE"/>
    <w:rsid w:val="62E5699F"/>
    <w:rsid w:val="62F3165E"/>
    <w:rsid w:val="62F95389"/>
    <w:rsid w:val="62FE3DDF"/>
    <w:rsid w:val="6307100C"/>
    <w:rsid w:val="63084189"/>
    <w:rsid w:val="631810EA"/>
    <w:rsid w:val="631D1D39"/>
    <w:rsid w:val="631E222D"/>
    <w:rsid w:val="63313EBB"/>
    <w:rsid w:val="6336067D"/>
    <w:rsid w:val="63437EDA"/>
    <w:rsid w:val="636A01C5"/>
    <w:rsid w:val="636A2211"/>
    <w:rsid w:val="636B405F"/>
    <w:rsid w:val="636E5C34"/>
    <w:rsid w:val="637C001A"/>
    <w:rsid w:val="637E0327"/>
    <w:rsid w:val="637F6A9D"/>
    <w:rsid w:val="6383046D"/>
    <w:rsid w:val="6384072A"/>
    <w:rsid w:val="6388150C"/>
    <w:rsid w:val="6390189E"/>
    <w:rsid w:val="63923DA0"/>
    <w:rsid w:val="639B0953"/>
    <w:rsid w:val="639B3553"/>
    <w:rsid w:val="639D0208"/>
    <w:rsid w:val="63A374B6"/>
    <w:rsid w:val="63AC7321"/>
    <w:rsid w:val="63AD1985"/>
    <w:rsid w:val="63AF1918"/>
    <w:rsid w:val="63B06343"/>
    <w:rsid w:val="63BD1CE7"/>
    <w:rsid w:val="63BE0FD1"/>
    <w:rsid w:val="63BE5D25"/>
    <w:rsid w:val="63C70F18"/>
    <w:rsid w:val="63CE5261"/>
    <w:rsid w:val="63D079C3"/>
    <w:rsid w:val="63D41DAF"/>
    <w:rsid w:val="63D542C3"/>
    <w:rsid w:val="63D74E9F"/>
    <w:rsid w:val="63DC6618"/>
    <w:rsid w:val="63DE4354"/>
    <w:rsid w:val="63E327BB"/>
    <w:rsid w:val="63E741D8"/>
    <w:rsid w:val="63EC4672"/>
    <w:rsid w:val="63EC4D1A"/>
    <w:rsid w:val="63EF74C6"/>
    <w:rsid w:val="63F01401"/>
    <w:rsid w:val="63F32484"/>
    <w:rsid w:val="63F459FC"/>
    <w:rsid w:val="63F501CD"/>
    <w:rsid w:val="63F725C7"/>
    <w:rsid w:val="63FC1917"/>
    <w:rsid w:val="63FD6110"/>
    <w:rsid w:val="64007738"/>
    <w:rsid w:val="64020F09"/>
    <w:rsid w:val="64046882"/>
    <w:rsid w:val="64066B96"/>
    <w:rsid w:val="64071787"/>
    <w:rsid w:val="640A4139"/>
    <w:rsid w:val="640A5372"/>
    <w:rsid w:val="640D382E"/>
    <w:rsid w:val="640D4527"/>
    <w:rsid w:val="64110B68"/>
    <w:rsid w:val="641150BB"/>
    <w:rsid w:val="64180119"/>
    <w:rsid w:val="641C50A9"/>
    <w:rsid w:val="64267AFF"/>
    <w:rsid w:val="642A67B5"/>
    <w:rsid w:val="642D2CFD"/>
    <w:rsid w:val="642D2D5A"/>
    <w:rsid w:val="642E7CA6"/>
    <w:rsid w:val="642F0F64"/>
    <w:rsid w:val="643914E5"/>
    <w:rsid w:val="64393986"/>
    <w:rsid w:val="6449455C"/>
    <w:rsid w:val="644C3681"/>
    <w:rsid w:val="644E2B3E"/>
    <w:rsid w:val="6450665C"/>
    <w:rsid w:val="64526164"/>
    <w:rsid w:val="645713F7"/>
    <w:rsid w:val="645A1296"/>
    <w:rsid w:val="645A28E2"/>
    <w:rsid w:val="645E59AD"/>
    <w:rsid w:val="64611368"/>
    <w:rsid w:val="64627008"/>
    <w:rsid w:val="64671409"/>
    <w:rsid w:val="646A51B1"/>
    <w:rsid w:val="646D53B5"/>
    <w:rsid w:val="6470594C"/>
    <w:rsid w:val="6471761D"/>
    <w:rsid w:val="647634F3"/>
    <w:rsid w:val="647B2066"/>
    <w:rsid w:val="647F6E7E"/>
    <w:rsid w:val="64822DE8"/>
    <w:rsid w:val="64833BDE"/>
    <w:rsid w:val="649440D6"/>
    <w:rsid w:val="64956C03"/>
    <w:rsid w:val="64A6128D"/>
    <w:rsid w:val="64A64BF0"/>
    <w:rsid w:val="64BA58E6"/>
    <w:rsid w:val="64BC4D6F"/>
    <w:rsid w:val="64C93883"/>
    <w:rsid w:val="64D420D4"/>
    <w:rsid w:val="64E2162B"/>
    <w:rsid w:val="64E30C60"/>
    <w:rsid w:val="64E653A5"/>
    <w:rsid w:val="64E81568"/>
    <w:rsid w:val="64E91EFD"/>
    <w:rsid w:val="64F24B52"/>
    <w:rsid w:val="64FA0288"/>
    <w:rsid w:val="64FC5936"/>
    <w:rsid w:val="64FD5601"/>
    <w:rsid w:val="64FD6F42"/>
    <w:rsid w:val="65002FF4"/>
    <w:rsid w:val="65020CB1"/>
    <w:rsid w:val="650440FD"/>
    <w:rsid w:val="6505368F"/>
    <w:rsid w:val="650613CD"/>
    <w:rsid w:val="650B7739"/>
    <w:rsid w:val="650E6BF3"/>
    <w:rsid w:val="6514292A"/>
    <w:rsid w:val="6518208F"/>
    <w:rsid w:val="65196556"/>
    <w:rsid w:val="6521177C"/>
    <w:rsid w:val="652C4425"/>
    <w:rsid w:val="65347C68"/>
    <w:rsid w:val="65363CC8"/>
    <w:rsid w:val="653A7758"/>
    <w:rsid w:val="65412072"/>
    <w:rsid w:val="65454B28"/>
    <w:rsid w:val="654C56E3"/>
    <w:rsid w:val="654F3502"/>
    <w:rsid w:val="65584A8B"/>
    <w:rsid w:val="65610CE1"/>
    <w:rsid w:val="65612598"/>
    <w:rsid w:val="65673758"/>
    <w:rsid w:val="656A4C15"/>
    <w:rsid w:val="656A6AE9"/>
    <w:rsid w:val="656B4BFD"/>
    <w:rsid w:val="657069CD"/>
    <w:rsid w:val="65712B4D"/>
    <w:rsid w:val="65770373"/>
    <w:rsid w:val="657B28FB"/>
    <w:rsid w:val="657F727A"/>
    <w:rsid w:val="65850BB9"/>
    <w:rsid w:val="65893F89"/>
    <w:rsid w:val="658A6E2F"/>
    <w:rsid w:val="658E751E"/>
    <w:rsid w:val="659324AD"/>
    <w:rsid w:val="65933814"/>
    <w:rsid w:val="659D1BB0"/>
    <w:rsid w:val="659F41A4"/>
    <w:rsid w:val="65A021E5"/>
    <w:rsid w:val="65A261A1"/>
    <w:rsid w:val="65A92399"/>
    <w:rsid w:val="65A93355"/>
    <w:rsid w:val="65AC519A"/>
    <w:rsid w:val="65AF2C36"/>
    <w:rsid w:val="65B36605"/>
    <w:rsid w:val="65BB39D3"/>
    <w:rsid w:val="65C41065"/>
    <w:rsid w:val="65C5770A"/>
    <w:rsid w:val="65CC2134"/>
    <w:rsid w:val="65CF204F"/>
    <w:rsid w:val="65D81157"/>
    <w:rsid w:val="65D83FD6"/>
    <w:rsid w:val="65E376A4"/>
    <w:rsid w:val="65E42CDF"/>
    <w:rsid w:val="65E4532A"/>
    <w:rsid w:val="65E62049"/>
    <w:rsid w:val="65E66712"/>
    <w:rsid w:val="65E766E6"/>
    <w:rsid w:val="65EB5CF4"/>
    <w:rsid w:val="65F51B70"/>
    <w:rsid w:val="65F632D7"/>
    <w:rsid w:val="65FB140B"/>
    <w:rsid w:val="660950AB"/>
    <w:rsid w:val="660C6FF1"/>
    <w:rsid w:val="6616214E"/>
    <w:rsid w:val="661F766F"/>
    <w:rsid w:val="66240BEA"/>
    <w:rsid w:val="6628551F"/>
    <w:rsid w:val="662A258E"/>
    <w:rsid w:val="663551B8"/>
    <w:rsid w:val="66371620"/>
    <w:rsid w:val="663955D7"/>
    <w:rsid w:val="663D08BC"/>
    <w:rsid w:val="663E250D"/>
    <w:rsid w:val="66440A25"/>
    <w:rsid w:val="66444B60"/>
    <w:rsid w:val="665151A3"/>
    <w:rsid w:val="66523FEA"/>
    <w:rsid w:val="66524933"/>
    <w:rsid w:val="665937E3"/>
    <w:rsid w:val="665B0C2D"/>
    <w:rsid w:val="665C05B1"/>
    <w:rsid w:val="66780977"/>
    <w:rsid w:val="667C1331"/>
    <w:rsid w:val="667C6FD1"/>
    <w:rsid w:val="667D6ED1"/>
    <w:rsid w:val="6682725F"/>
    <w:rsid w:val="6685294F"/>
    <w:rsid w:val="668745E1"/>
    <w:rsid w:val="66882961"/>
    <w:rsid w:val="668B27CE"/>
    <w:rsid w:val="669C1C1D"/>
    <w:rsid w:val="669D5D31"/>
    <w:rsid w:val="66A655E1"/>
    <w:rsid w:val="66A80DB6"/>
    <w:rsid w:val="66AC74F5"/>
    <w:rsid w:val="66AF4FF3"/>
    <w:rsid w:val="66B036AA"/>
    <w:rsid w:val="66B17786"/>
    <w:rsid w:val="66B33B8B"/>
    <w:rsid w:val="66B4608C"/>
    <w:rsid w:val="66B825DB"/>
    <w:rsid w:val="66C57337"/>
    <w:rsid w:val="66D215FD"/>
    <w:rsid w:val="66D743D4"/>
    <w:rsid w:val="66D748E8"/>
    <w:rsid w:val="66DE22FE"/>
    <w:rsid w:val="66E06C7B"/>
    <w:rsid w:val="66F655E9"/>
    <w:rsid w:val="66F824FD"/>
    <w:rsid w:val="66F84618"/>
    <w:rsid w:val="66F97213"/>
    <w:rsid w:val="67006EDC"/>
    <w:rsid w:val="670D22F0"/>
    <w:rsid w:val="67112D82"/>
    <w:rsid w:val="67114430"/>
    <w:rsid w:val="67192171"/>
    <w:rsid w:val="671E6FB3"/>
    <w:rsid w:val="672002B4"/>
    <w:rsid w:val="67250FD3"/>
    <w:rsid w:val="672661BF"/>
    <w:rsid w:val="67266482"/>
    <w:rsid w:val="672B5062"/>
    <w:rsid w:val="672C2DB0"/>
    <w:rsid w:val="672D29FD"/>
    <w:rsid w:val="672E2721"/>
    <w:rsid w:val="673342DD"/>
    <w:rsid w:val="67335C77"/>
    <w:rsid w:val="673B457D"/>
    <w:rsid w:val="67401B5D"/>
    <w:rsid w:val="674054F4"/>
    <w:rsid w:val="674244CD"/>
    <w:rsid w:val="674D7C12"/>
    <w:rsid w:val="67576C8D"/>
    <w:rsid w:val="676618F7"/>
    <w:rsid w:val="676642DF"/>
    <w:rsid w:val="67682457"/>
    <w:rsid w:val="676A644B"/>
    <w:rsid w:val="67767C08"/>
    <w:rsid w:val="677A0A95"/>
    <w:rsid w:val="677F278C"/>
    <w:rsid w:val="678246CD"/>
    <w:rsid w:val="67882F0A"/>
    <w:rsid w:val="67890635"/>
    <w:rsid w:val="678B59B5"/>
    <w:rsid w:val="67913AF7"/>
    <w:rsid w:val="67974618"/>
    <w:rsid w:val="679C7620"/>
    <w:rsid w:val="679E76E8"/>
    <w:rsid w:val="67A95F1B"/>
    <w:rsid w:val="67AB3920"/>
    <w:rsid w:val="67C03C3D"/>
    <w:rsid w:val="67D174B3"/>
    <w:rsid w:val="67DB25C9"/>
    <w:rsid w:val="67E70D08"/>
    <w:rsid w:val="67EB4052"/>
    <w:rsid w:val="67EB7D07"/>
    <w:rsid w:val="67EE1BB0"/>
    <w:rsid w:val="67EF298D"/>
    <w:rsid w:val="67F50C73"/>
    <w:rsid w:val="67F64452"/>
    <w:rsid w:val="67FA0C15"/>
    <w:rsid w:val="67FD254C"/>
    <w:rsid w:val="6801695B"/>
    <w:rsid w:val="68031BAD"/>
    <w:rsid w:val="680B393B"/>
    <w:rsid w:val="681240A1"/>
    <w:rsid w:val="681629EF"/>
    <w:rsid w:val="681B4780"/>
    <w:rsid w:val="6821479D"/>
    <w:rsid w:val="68265222"/>
    <w:rsid w:val="68287D8D"/>
    <w:rsid w:val="682A5E67"/>
    <w:rsid w:val="682C5482"/>
    <w:rsid w:val="682E5135"/>
    <w:rsid w:val="683329B5"/>
    <w:rsid w:val="68367249"/>
    <w:rsid w:val="68374713"/>
    <w:rsid w:val="68376BDA"/>
    <w:rsid w:val="68393F5D"/>
    <w:rsid w:val="68434693"/>
    <w:rsid w:val="684B4C33"/>
    <w:rsid w:val="684F7671"/>
    <w:rsid w:val="68514082"/>
    <w:rsid w:val="6853043B"/>
    <w:rsid w:val="685575B4"/>
    <w:rsid w:val="685B3DBC"/>
    <w:rsid w:val="68620D1E"/>
    <w:rsid w:val="68660C1A"/>
    <w:rsid w:val="686D79EE"/>
    <w:rsid w:val="687E6CB1"/>
    <w:rsid w:val="68815756"/>
    <w:rsid w:val="688E6B42"/>
    <w:rsid w:val="689046D8"/>
    <w:rsid w:val="68986535"/>
    <w:rsid w:val="689C19A7"/>
    <w:rsid w:val="689C1D3D"/>
    <w:rsid w:val="68A04824"/>
    <w:rsid w:val="68A16D1B"/>
    <w:rsid w:val="68A27318"/>
    <w:rsid w:val="68AB3519"/>
    <w:rsid w:val="68AD7905"/>
    <w:rsid w:val="68AE1146"/>
    <w:rsid w:val="68B65FCC"/>
    <w:rsid w:val="68B83FCD"/>
    <w:rsid w:val="68B965A5"/>
    <w:rsid w:val="68BC5D09"/>
    <w:rsid w:val="68C40153"/>
    <w:rsid w:val="68C512EC"/>
    <w:rsid w:val="68C61FAA"/>
    <w:rsid w:val="68CD3FED"/>
    <w:rsid w:val="68D47271"/>
    <w:rsid w:val="68D87FB2"/>
    <w:rsid w:val="68D9663D"/>
    <w:rsid w:val="68DB58B3"/>
    <w:rsid w:val="68E11081"/>
    <w:rsid w:val="68E2237F"/>
    <w:rsid w:val="68E64B42"/>
    <w:rsid w:val="68E76E2D"/>
    <w:rsid w:val="68F30215"/>
    <w:rsid w:val="68F56E5F"/>
    <w:rsid w:val="68F83E7C"/>
    <w:rsid w:val="68FA7858"/>
    <w:rsid w:val="68FC57C9"/>
    <w:rsid w:val="69017ACE"/>
    <w:rsid w:val="69070B81"/>
    <w:rsid w:val="690A753C"/>
    <w:rsid w:val="690D60D1"/>
    <w:rsid w:val="69186D0C"/>
    <w:rsid w:val="692473D7"/>
    <w:rsid w:val="69281F57"/>
    <w:rsid w:val="693E5941"/>
    <w:rsid w:val="6945584F"/>
    <w:rsid w:val="69531BD6"/>
    <w:rsid w:val="695A35E2"/>
    <w:rsid w:val="695D0DF6"/>
    <w:rsid w:val="695D248F"/>
    <w:rsid w:val="69624E74"/>
    <w:rsid w:val="69631D62"/>
    <w:rsid w:val="69637FF4"/>
    <w:rsid w:val="69650C1F"/>
    <w:rsid w:val="69660029"/>
    <w:rsid w:val="69673481"/>
    <w:rsid w:val="69683388"/>
    <w:rsid w:val="696F4EE4"/>
    <w:rsid w:val="69744451"/>
    <w:rsid w:val="697D497C"/>
    <w:rsid w:val="69812368"/>
    <w:rsid w:val="69893D0F"/>
    <w:rsid w:val="698C1980"/>
    <w:rsid w:val="698E09D3"/>
    <w:rsid w:val="699203CF"/>
    <w:rsid w:val="69972BD8"/>
    <w:rsid w:val="699A1E13"/>
    <w:rsid w:val="699A3830"/>
    <w:rsid w:val="699C781D"/>
    <w:rsid w:val="699D17AA"/>
    <w:rsid w:val="69A075BA"/>
    <w:rsid w:val="69A21547"/>
    <w:rsid w:val="69A85F50"/>
    <w:rsid w:val="69B51C7C"/>
    <w:rsid w:val="69B708E1"/>
    <w:rsid w:val="69B82747"/>
    <w:rsid w:val="69C35137"/>
    <w:rsid w:val="69C94BD6"/>
    <w:rsid w:val="69CB1DAF"/>
    <w:rsid w:val="69CC7718"/>
    <w:rsid w:val="69CF4996"/>
    <w:rsid w:val="69CF6FA8"/>
    <w:rsid w:val="69CF6FFA"/>
    <w:rsid w:val="69D129B7"/>
    <w:rsid w:val="69D271BF"/>
    <w:rsid w:val="69E678C6"/>
    <w:rsid w:val="69E806A7"/>
    <w:rsid w:val="69E92D8D"/>
    <w:rsid w:val="69F9063E"/>
    <w:rsid w:val="6A087DDB"/>
    <w:rsid w:val="6A0D66DB"/>
    <w:rsid w:val="6A1517DB"/>
    <w:rsid w:val="6A166397"/>
    <w:rsid w:val="6A18477E"/>
    <w:rsid w:val="6A1A7606"/>
    <w:rsid w:val="6A1F5215"/>
    <w:rsid w:val="6A2229ED"/>
    <w:rsid w:val="6A265213"/>
    <w:rsid w:val="6A33695F"/>
    <w:rsid w:val="6A3A15CA"/>
    <w:rsid w:val="6A3B11E5"/>
    <w:rsid w:val="6A3D2D19"/>
    <w:rsid w:val="6A464B1B"/>
    <w:rsid w:val="6A5179CE"/>
    <w:rsid w:val="6A590F21"/>
    <w:rsid w:val="6A60097B"/>
    <w:rsid w:val="6A645B9C"/>
    <w:rsid w:val="6A691672"/>
    <w:rsid w:val="6A695AA5"/>
    <w:rsid w:val="6A6F67A2"/>
    <w:rsid w:val="6A763C2C"/>
    <w:rsid w:val="6A843A8E"/>
    <w:rsid w:val="6A912590"/>
    <w:rsid w:val="6A917224"/>
    <w:rsid w:val="6A9668E4"/>
    <w:rsid w:val="6A9C62FC"/>
    <w:rsid w:val="6AA552AB"/>
    <w:rsid w:val="6AA866BA"/>
    <w:rsid w:val="6AA946D8"/>
    <w:rsid w:val="6AAB4AA4"/>
    <w:rsid w:val="6AB774CE"/>
    <w:rsid w:val="6ABD3EE1"/>
    <w:rsid w:val="6AC31E44"/>
    <w:rsid w:val="6ACA7856"/>
    <w:rsid w:val="6ACB471C"/>
    <w:rsid w:val="6ACC00F1"/>
    <w:rsid w:val="6AD21F1F"/>
    <w:rsid w:val="6AD301C7"/>
    <w:rsid w:val="6AD71975"/>
    <w:rsid w:val="6ADC6FAE"/>
    <w:rsid w:val="6ADD40C5"/>
    <w:rsid w:val="6ADF4762"/>
    <w:rsid w:val="6AEF061E"/>
    <w:rsid w:val="6AF25C11"/>
    <w:rsid w:val="6AF47B90"/>
    <w:rsid w:val="6AF70E11"/>
    <w:rsid w:val="6AFB095A"/>
    <w:rsid w:val="6AFC0248"/>
    <w:rsid w:val="6B067226"/>
    <w:rsid w:val="6B0A2676"/>
    <w:rsid w:val="6B0A317B"/>
    <w:rsid w:val="6B110D6C"/>
    <w:rsid w:val="6B115076"/>
    <w:rsid w:val="6B15491F"/>
    <w:rsid w:val="6B1726BA"/>
    <w:rsid w:val="6B210D20"/>
    <w:rsid w:val="6B2608E7"/>
    <w:rsid w:val="6B275ECF"/>
    <w:rsid w:val="6B280E9B"/>
    <w:rsid w:val="6B2F07AC"/>
    <w:rsid w:val="6B3279DD"/>
    <w:rsid w:val="6B4C298E"/>
    <w:rsid w:val="6B5A3C3F"/>
    <w:rsid w:val="6B5A5DBC"/>
    <w:rsid w:val="6B5B6A14"/>
    <w:rsid w:val="6B5C62F1"/>
    <w:rsid w:val="6B5F76FC"/>
    <w:rsid w:val="6B6925A2"/>
    <w:rsid w:val="6B6D5173"/>
    <w:rsid w:val="6B7361B2"/>
    <w:rsid w:val="6B761C87"/>
    <w:rsid w:val="6B785B87"/>
    <w:rsid w:val="6B7C0300"/>
    <w:rsid w:val="6B840A32"/>
    <w:rsid w:val="6B8C088A"/>
    <w:rsid w:val="6B8C140B"/>
    <w:rsid w:val="6B8E0A4D"/>
    <w:rsid w:val="6B8F2009"/>
    <w:rsid w:val="6B901DCF"/>
    <w:rsid w:val="6B936FB3"/>
    <w:rsid w:val="6B9375DA"/>
    <w:rsid w:val="6B9A1389"/>
    <w:rsid w:val="6BA12235"/>
    <w:rsid w:val="6BA32A9A"/>
    <w:rsid w:val="6BA609BB"/>
    <w:rsid w:val="6BA76870"/>
    <w:rsid w:val="6BB31B20"/>
    <w:rsid w:val="6BBC1840"/>
    <w:rsid w:val="6BC137A8"/>
    <w:rsid w:val="6BC46067"/>
    <w:rsid w:val="6BC606B7"/>
    <w:rsid w:val="6BC77446"/>
    <w:rsid w:val="6BC97589"/>
    <w:rsid w:val="6BD42699"/>
    <w:rsid w:val="6BD52403"/>
    <w:rsid w:val="6BD53BA1"/>
    <w:rsid w:val="6BD71D2B"/>
    <w:rsid w:val="6BDE7973"/>
    <w:rsid w:val="6BE65745"/>
    <w:rsid w:val="6BE7549E"/>
    <w:rsid w:val="6BE912C0"/>
    <w:rsid w:val="6BEE4548"/>
    <w:rsid w:val="6BEF1695"/>
    <w:rsid w:val="6BF53CE3"/>
    <w:rsid w:val="6BFE092C"/>
    <w:rsid w:val="6BFF4547"/>
    <w:rsid w:val="6C1005E4"/>
    <w:rsid w:val="6C174D63"/>
    <w:rsid w:val="6C1D4E84"/>
    <w:rsid w:val="6C2619BA"/>
    <w:rsid w:val="6C2A7443"/>
    <w:rsid w:val="6C3001FD"/>
    <w:rsid w:val="6C344CB5"/>
    <w:rsid w:val="6C365A73"/>
    <w:rsid w:val="6C477159"/>
    <w:rsid w:val="6C4A6018"/>
    <w:rsid w:val="6C5C1842"/>
    <w:rsid w:val="6C6230F4"/>
    <w:rsid w:val="6C637A3B"/>
    <w:rsid w:val="6C6667F4"/>
    <w:rsid w:val="6C6831F3"/>
    <w:rsid w:val="6C6D2EF6"/>
    <w:rsid w:val="6C7505AF"/>
    <w:rsid w:val="6C787E50"/>
    <w:rsid w:val="6C79395B"/>
    <w:rsid w:val="6C7B102A"/>
    <w:rsid w:val="6C7C6C3F"/>
    <w:rsid w:val="6C7C787B"/>
    <w:rsid w:val="6C7D2FC6"/>
    <w:rsid w:val="6C7D54FB"/>
    <w:rsid w:val="6C8139CF"/>
    <w:rsid w:val="6C850598"/>
    <w:rsid w:val="6C8B5838"/>
    <w:rsid w:val="6C8C451C"/>
    <w:rsid w:val="6C8D532E"/>
    <w:rsid w:val="6C91192B"/>
    <w:rsid w:val="6C9E700E"/>
    <w:rsid w:val="6CA155DB"/>
    <w:rsid w:val="6CAB458D"/>
    <w:rsid w:val="6CB447AB"/>
    <w:rsid w:val="6CBA067C"/>
    <w:rsid w:val="6CC06563"/>
    <w:rsid w:val="6CC11A24"/>
    <w:rsid w:val="6CC34BD4"/>
    <w:rsid w:val="6CC43B00"/>
    <w:rsid w:val="6CCE108A"/>
    <w:rsid w:val="6CCE292A"/>
    <w:rsid w:val="6CD55849"/>
    <w:rsid w:val="6CDF1D13"/>
    <w:rsid w:val="6CE2641C"/>
    <w:rsid w:val="6CE73981"/>
    <w:rsid w:val="6CEC16E6"/>
    <w:rsid w:val="6CED2D31"/>
    <w:rsid w:val="6CEE2321"/>
    <w:rsid w:val="6CEF7C48"/>
    <w:rsid w:val="6CF02E58"/>
    <w:rsid w:val="6CFB34EE"/>
    <w:rsid w:val="6CFD4F45"/>
    <w:rsid w:val="6CFF20BC"/>
    <w:rsid w:val="6D000E28"/>
    <w:rsid w:val="6D0C719F"/>
    <w:rsid w:val="6D0D204B"/>
    <w:rsid w:val="6D141A56"/>
    <w:rsid w:val="6D241CCF"/>
    <w:rsid w:val="6D2613F7"/>
    <w:rsid w:val="6D2A6263"/>
    <w:rsid w:val="6D2D7E80"/>
    <w:rsid w:val="6D3069AA"/>
    <w:rsid w:val="6D346794"/>
    <w:rsid w:val="6D35161F"/>
    <w:rsid w:val="6D3A4893"/>
    <w:rsid w:val="6D3C2948"/>
    <w:rsid w:val="6D3E0EC2"/>
    <w:rsid w:val="6D3E131B"/>
    <w:rsid w:val="6D427883"/>
    <w:rsid w:val="6D4905F8"/>
    <w:rsid w:val="6D5118E8"/>
    <w:rsid w:val="6D56014A"/>
    <w:rsid w:val="6D5E3CE3"/>
    <w:rsid w:val="6D671D25"/>
    <w:rsid w:val="6D6856E5"/>
    <w:rsid w:val="6D6A3501"/>
    <w:rsid w:val="6D6B17E5"/>
    <w:rsid w:val="6D6E26B0"/>
    <w:rsid w:val="6D783BF8"/>
    <w:rsid w:val="6D7906D5"/>
    <w:rsid w:val="6D7940B0"/>
    <w:rsid w:val="6D7C66F3"/>
    <w:rsid w:val="6D7F5EC2"/>
    <w:rsid w:val="6D862DF8"/>
    <w:rsid w:val="6D867443"/>
    <w:rsid w:val="6D876CD3"/>
    <w:rsid w:val="6D8B4B30"/>
    <w:rsid w:val="6D904F42"/>
    <w:rsid w:val="6D9715BD"/>
    <w:rsid w:val="6D9E3028"/>
    <w:rsid w:val="6D9F6798"/>
    <w:rsid w:val="6DA4731F"/>
    <w:rsid w:val="6DAE0C3A"/>
    <w:rsid w:val="6DB13D2D"/>
    <w:rsid w:val="6DB3080C"/>
    <w:rsid w:val="6DB43E4B"/>
    <w:rsid w:val="6DB469FD"/>
    <w:rsid w:val="6DB66FAE"/>
    <w:rsid w:val="6DC85DCA"/>
    <w:rsid w:val="6DC97FA9"/>
    <w:rsid w:val="6DD26A28"/>
    <w:rsid w:val="6DDD7235"/>
    <w:rsid w:val="6DE37B7C"/>
    <w:rsid w:val="6DF53564"/>
    <w:rsid w:val="6DF96BBF"/>
    <w:rsid w:val="6DFA5C2C"/>
    <w:rsid w:val="6DFA6EB2"/>
    <w:rsid w:val="6DFE792D"/>
    <w:rsid w:val="6E001619"/>
    <w:rsid w:val="6E046AA3"/>
    <w:rsid w:val="6E064B47"/>
    <w:rsid w:val="6E0A7DDD"/>
    <w:rsid w:val="6E0D199B"/>
    <w:rsid w:val="6E1C37FD"/>
    <w:rsid w:val="6E204D42"/>
    <w:rsid w:val="6E212615"/>
    <w:rsid w:val="6E2376F9"/>
    <w:rsid w:val="6E2445BF"/>
    <w:rsid w:val="6E2513C8"/>
    <w:rsid w:val="6E2B6E8E"/>
    <w:rsid w:val="6E326006"/>
    <w:rsid w:val="6E3351D8"/>
    <w:rsid w:val="6E3A130C"/>
    <w:rsid w:val="6E3D1975"/>
    <w:rsid w:val="6E3E2AAF"/>
    <w:rsid w:val="6E3F1EC0"/>
    <w:rsid w:val="6E4570AC"/>
    <w:rsid w:val="6E4876F0"/>
    <w:rsid w:val="6E49210D"/>
    <w:rsid w:val="6E497C4D"/>
    <w:rsid w:val="6E4B0BCB"/>
    <w:rsid w:val="6E5543E8"/>
    <w:rsid w:val="6E5F7C58"/>
    <w:rsid w:val="6E6F53F4"/>
    <w:rsid w:val="6E702D79"/>
    <w:rsid w:val="6E704089"/>
    <w:rsid w:val="6E7215E1"/>
    <w:rsid w:val="6E77270F"/>
    <w:rsid w:val="6E7B7BAA"/>
    <w:rsid w:val="6E827313"/>
    <w:rsid w:val="6E853685"/>
    <w:rsid w:val="6E863DEC"/>
    <w:rsid w:val="6E895D2C"/>
    <w:rsid w:val="6E8C044C"/>
    <w:rsid w:val="6E8D5AEE"/>
    <w:rsid w:val="6E9148D4"/>
    <w:rsid w:val="6E9A4712"/>
    <w:rsid w:val="6EAC5039"/>
    <w:rsid w:val="6EBA62F4"/>
    <w:rsid w:val="6EC70AF1"/>
    <w:rsid w:val="6EC93767"/>
    <w:rsid w:val="6EC9533D"/>
    <w:rsid w:val="6ECF657F"/>
    <w:rsid w:val="6ED73F2E"/>
    <w:rsid w:val="6EE07ED4"/>
    <w:rsid w:val="6EE34E5E"/>
    <w:rsid w:val="6EE639F5"/>
    <w:rsid w:val="6EE710F1"/>
    <w:rsid w:val="6EE924FA"/>
    <w:rsid w:val="6EED0FD6"/>
    <w:rsid w:val="6F0514F3"/>
    <w:rsid w:val="6F0C5AD3"/>
    <w:rsid w:val="6F0D3E81"/>
    <w:rsid w:val="6F1709FF"/>
    <w:rsid w:val="6F1C5E77"/>
    <w:rsid w:val="6F255F77"/>
    <w:rsid w:val="6F257780"/>
    <w:rsid w:val="6F26731D"/>
    <w:rsid w:val="6F2B6E34"/>
    <w:rsid w:val="6F2F3E9A"/>
    <w:rsid w:val="6F370810"/>
    <w:rsid w:val="6F455118"/>
    <w:rsid w:val="6F4B28EB"/>
    <w:rsid w:val="6F4B5873"/>
    <w:rsid w:val="6F4C2A4B"/>
    <w:rsid w:val="6F5F15A1"/>
    <w:rsid w:val="6F6E71CD"/>
    <w:rsid w:val="6F6F1692"/>
    <w:rsid w:val="6F6F366E"/>
    <w:rsid w:val="6F727626"/>
    <w:rsid w:val="6F794AF4"/>
    <w:rsid w:val="6F7B4E3C"/>
    <w:rsid w:val="6F803C30"/>
    <w:rsid w:val="6F884B47"/>
    <w:rsid w:val="6F9208C0"/>
    <w:rsid w:val="6F9D5113"/>
    <w:rsid w:val="6FA2172F"/>
    <w:rsid w:val="6FA2371B"/>
    <w:rsid w:val="6FAD7B1E"/>
    <w:rsid w:val="6FAE0AA0"/>
    <w:rsid w:val="6FB21CE7"/>
    <w:rsid w:val="6FCD3EC9"/>
    <w:rsid w:val="6FCF6CA4"/>
    <w:rsid w:val="6FE076D7"/>
    <w:rsid w:val="6FE45E8D"/>
    <w:rsid w:val="6FEA320D"/>
    <w:rsid w:val="6FF145C9"/>
    <w:rsid w:val="6FF72D2F"/>
    <w:rsid w:val="6FF90134"/>
    <w:rsid w:val="6FFB578A"/>
    <w:rsid w:val="6FFC3729"/>
    <w:rsid w:val="6FFE5087"/>
    <w:rsid w:val="7007176A"/>
    <w:rsid w:val="700B4468"/>
    <w:rsid w:val="7011088A"/>
    <w:rsid w:val="70124046"/>
    <w:rsid w:val="70124E0B"/>
    <w:rsid w:val="7017077B"/>
    <w:rsid w:val="70193E0B"/>
    <w:rsid w:val="701A7105"/>
    <w:rsid w:val="701C6D15"/>
    <w:rsid w:val="701D3556"/>
    <w:rsid w:val="701F43FF"/>
    <w:rsid w:val="70211A1B"/>
    <w:rsid w:val="70274F04"/>
    <w:rsid w:val="70331598"/>
    <w:rsid w:val="703A627D"/>
    <w:rsid w:val="703D01FC"/>
    <w:rsid w:val="7041576B"/>
    <w:rsid w:val="704548A7"/>
    <w:rsid w:val="70472DE7"/>
    <w:rsid w:val="704E1926"/>
    <w:rsid w:val="705A4DC4"/>
    <w:rsid w:val="705A7AA6"/>
    <w:rsid w:val="705C18DF"/>
    <w:rsid w:val="706435CA"/>
    <w:rsid w:val="70647078"/>
    <w:rsid w:val="706E75F9"/>
    <w:rsid w:val="70726461"/>
    <w:rsid w:val="70754DBB"/>
    <w:rsid w:val="707A0996"/>
    <w:rsid w:val="707B641B"/>
    <w:rsid w:val="7082480E"/>
    <w:rsid w:val="7084764A"/>
    <w:rsid w:val="708715DE"/>
    <w:rsid w:val="708723E6"/>
    <w:rsid w:val="708A2370"/>
    <w:rsid w:val="7093176B"/>
    <w:rsid w:val="709525B2"/>
    <w:rsid w:val="709742F9"/>
    <w:rsid w:val="709C2F82"/>
    <w:rsid w:val="70A55E84"/>
    <w:rsid w:val="70AA465D"/>
    <w:rsid w:val="70AB186E"/>
    <w:rsid w:val="70B35CE3"/>
    <w:rsid w:val="70BC7278"/>
    <w:rsid w:val="70C55CA7"/>
    <w:rsid w:val="70CB50D0"/>
    <w:rsid w:val="70CC3A8C"/>
    <w:rsid w:val="70DE0DAA"/>
    <w:rsid w:val="70E17D25"/>
    <w:rsid w:val="70E4325B"/>
    <w:rsid w:val="70E51696"/>
    <w:rsid w:val="70E72F82"/>
    <w:rsid w:val="70EB5227"/>
    <w:rsid w:val="70EB6437"/>
    <w:rsid w:val="70F0453C"/>
    <w:rsid w:val="70F6023B"/>
    <w:rsid w:val="7103696A"/>
    <w:rsid w:val="71040A1F"/>
    <w:rsid w:val="710B7340"/>
    <w:rsid w:val="7110058F"/>
    <w:rsid w:val="711E619E"/>
    <w:rsid w:val="71255C28"/>
    <w:rsid w:val="71273F7E"/>
    <w:rsid w:val="71276936"/>
    <w:rsid w:val="712853B0"/>
    <w:rsid w:val="712929AA"/>
    <w:rsid w:val="7129389F"/>
    <w:rsid w:val="712C0D25"/>
    <w:rsid w:val="713A2434"/>
    <w:rsid w:val="713C3EBC"/>
    <w:rsid w:val="713D352F"/>
    <w:rsid w:val="713D4FE8"/>
    <w:rsid w:val="71401014"/>
    <w:rsid w:val="714574AC"/>
    <w:rsid w:val="714F2B70"/>
    <w:rsid w:val="715475D5"/>
    <w:rsid w:val="71562224"/>
    <w:rsid w:val="7156303E"/>
    <w:rsid w:val="71582DBE"/>
    <w:rsid w:val="715D0558"/>
    <w:rsid w:val="716518C7"/>
    <w:rsid w:val="716727F7"/>
    <w:rsid w:val="71685F22"/>
    <w:rsid w:val="71691E02"/>
    <w:rsid w:val="716C3BD4"/>
    <w:rsid w:val="71700F30"/>
    <w:rsid w:val="7170513A"/>
    <w:rsid w:val="71780E07"/>
    <w:rsid w:val="71872CCA"/>
    <w:rsid w:val="718A1659"/>
    <w:rsid w:val="718E7E07"/>
    <w:rsid w:val="718F31C0"/>
    <w:rsid w:val="71951780"/>
    <w:rsid w:val="719536E7"/>
    <w:rsid w:val="71955197"/>
    <w:rsid w:val="71966CF6"/>
    <w:rsid w:val="719E08B0"/>
    <w:rsid w:val="71A02AE0"/>
    <w:rsid w:val="71AA0781"/>
    <w:rsid w:val="71B61B1C"/>
    <w:rsid w:val="71BA7862"/>
    <w:rsid w:val="71C12341"/>
    <w:rsid w:val="71C97CEB"/>
    <w:rsid w:val="71CD72E1"/>
    <w:rsid w:val="71D33FBA"/>
    <w:rsid w:val="71D61FC3"/>
    <w:rsid w:val="71D94B7F"/>
    <w:rsid w:val="71D95C86"/>
    <w:rsid w:val="71DA6848"/>
    <w:rsid w:val="71DC31C3"/>
    <w:rsid w:val="71E22F49"/>
    <w:rsid w:val="71EA5795"/>
    <w:rsid w:val="71EC10CF"/>
    <w:rsid w:val="71F22052"/>
    <w:rsid w:val="71F36FC4"/>
    <w:rsid w:val="71F40466"/>
    <w:rsid w:val="71F803DB"/>
    <w:rsid w:val="71FD52C7"/>
    <w:rsid w:val="71FF1C0D"/>
    <w:rsid w:val="72004364"/>
    <w:rsid w:val="720D2042"/>
    <w:rsid w:val="721106DE"/>
    <w:rsid w:val="72197A0E"/>
    <w:rsid w:val="721C5003"/>
    <w:rsid w:val="721F5D90"/>
    <w:rsid w:val="72212178"/>
    <w:rsid w:val="72242FFF"/>
    <w:rsid w:val="722E114C"/>
    <w:rsid w:val="723C0AAB"/>
    <w:rsid w:val="72451D53"/>
    <w:rsid w:val="724522E4"/>
    <w:rsid w:val="724950AE"/>
    <w:rsid w:val="724F0EF1"/>
    <w:rsid w:val="72526494"/>
    <w:rsid w:val="72577283"/>
    <w:rsid w:val="72590109"/>
    <w:rsid w:val="725E587A"/>
    <w:rsid w:val="72624682"/>
    <w:rsid w:val="726402B6"/>
    <w:rsid w:val="72676704"/>
    <w:rsid w:val="726961D7"/>
    <w:rsid w:val="726F1B71"/>
    <w:rsid w:val="727836E5"/>
    <w:rsid w:val="727C2458"/>
    <w:rsid w:val="727D346F"/>
    <w:rsid w:val="727D41E5"/>
    <w:rsid w:val="72807A5F"/>
    <w:rsid w:val="728453C8"/>
    <w:rsid w:val="7286096F"/>
    <w:rsid w:val="728767A6"/>
    <w:rsid w:val="72915B0F"/>
    <w:rsid w:val="7297563C"/>
    <w:rsid w:val="72987C3B"/>
    <w:rsid w:val="72997FBD"/>
    <w:rsid w:val="72A461E7"/>
    <w:rsid w:val="72A67B3E"/>
    <w:rsid w:val="72A86590"/>
    <w:rsid w:val="72A96543"/>
    <w:rsid w:val="72AC4BFB"/>
    <w:rsid w:val="72AF4F1C"/>
    <w:rsid w:val="72B03DD4"/>
    <w:rsid w:val="72B37D58"/>
    <w:rsid w:val="72BA21EC"/>
    <w:rsid w:val="72BE210D"/>
    <w:rsid w:val="72C12700"/>
    <w:rsid w:val="72C3290F"/>
    <w:rsid w:val="72C451AD"/>
    <w:rsid w:val="72C504D5"/>
    <w:rsid w:val="72D2563D"/>
    <w:rsid w:val="72D96C84"/>
    <w:rsid w:val="72DD6466"/>
    <w:rsid w:val="72E23A16"/>
    <w:rsid w:val="72E26842"/>
    <w:rsid w:val="72E351D9"/>
    <w:rsid w:val="72E35CD0"/>
    <w:rsid w:val="72EA1026"/>
    <w:rsid w:val="72F60C5D"/>
    <w:rsid w:val="72FF6EFE"/>
    <w:rsid w:val="73027750"/>
    <w:rsid w:val="73027DAD"/>
    <w:rsid w:val="730E16F5"/>
    <w:rsid w:val="73136D7C"/>
    <w:rsid w:val="73142D7C"/>
    <w:rsid w:val="73147474"/>
    <w:rsid w:val="731A48F2"/>
    <w:rsid w:val="731E4144"/>
    <w:rsid w:val="7322413B"/>
    <w:rsid w:val="73234271"/>
    <w:rsid w:val="732620FF"/>
    <w:rsid w:val="732D363C"/>
    <w:rsid w:val="732F6C39"/>
    <w:rsid w:val="7335128C"/>
    <w:rsid w:val="7344665E"/>
    <w:rsid w:val="734654D7"/>
    <w:rsid w:val="734B343F"/>
    <w:rsid w:val="73515B54"/>
    <w:rsid w:val="73584A9D"/>
    <w:rsid w:val="735D005E"/>
    <w:rsid w:val="73741D90"/>
    <w:rsid w:val="738966BA"/>
    <w:rsid w:val="73907F00"/>
    <w:rsid w:val="73934806"/>
    <w:rsid w:val="73A27C94"/>
    <w:rsid w:val="73A941D7"/>
    <w:rsid w:val="73AB5242"/>
    <w:rsid w:val="73AD615F"/>
    <w:rsid w:val="73B12246"/>
    <w:rsid w:val="73BC00A5"/>
    <w:rsid w:val="73C270AA"/>
    <w:rsid w:val="73C42DC8"/>
    <w:rsid w:val="73C67BC0"/>
    <w:rsid w:val="73C703F9"/>
    <w:rsid w:val="73C805E2"/>
    <w:rsid w:val="73CC1F97"/>
    <w:rsid w:val="73D078A6"/>
    <w:rsid w:val="73D865E7"/>
    <w:rsid w:val="73DC3B42"/>
    <w:rsid w:val="73DF5A62"/>
    <w:rsid w:val="73E70279"/>
    <w:rsid w:val="73EA6B5B"/>
    <w:rsid w:val="73F32AC4"/>
    <w:rsid w:val="74110A58"/>
    <w:rsid w:val="741223F3"/>
    <w:rsid w:val="741C0EC7"/>
    <w:rsid w:val="741D33D9"/>
    <w:rsid w:val="741F0C8A"/>
    <w:rsid w:val="741F4133"/>
    <w:rsid w:val="74201E83"/>
    <w:rsid w:val="74223D3B"/>
    <w:rsid w:val="742D7AAC"/>
    <w:rsid w:val="742D7EF0"/>
    <w:rsid w:val="742F71A6"/>
    <w:rsid w:val="743738FA"/>
    <w:rsid w:val="74396650"/>
    <w:rsid w:val="743C4319"/>
    <w:rsid w:val="744A5EA4"/>
    <w:rsid w:val="745436C3"/>
    <w:rsid w:val="745C1B97"/>
    <w:rsid w:val="745C22D4"/>
    <w:rsid w:val="745D0C05"/>
    <w:rsid w:val="746520EE"/>
    <w:rsid w:val="74716576"/>
    <w:rsid w:val="74723115"/>
    <w:rsid w:val="7478608F"/>
    <w:rsid w:val="74807406"/>
    <w:rsid w:val="74857F60"/>
    <w:rsid w:val="74865C70"/>
    <w:rsid w:val="749126F5"/>
    <w:rsid w:val="74991692"/>
    <w:rsid w:val="749934E5"/>
    <w:rsid w:val="749D60E4"/>
    <w:rsid w:val="74AA051D"/>
    <w:rsid w:val="74AB6604"/>
    <w:rsid w:val="74B060F4"/>
    <w:rsid w:val="74BD7934"/>
    <w:rsid w:val="74C07088"/>
    <w:rsid w:val="74C4562A"/>
    <w:rsid w:val="74C91760"/>
    <w:rsid w:val="74CB2099"/>
    <w:rsid w:val="74CD009A"/>
    <w:rsid w:val="74D01CD1"/>
    <w:rsid w:val="74DD3268"/>
    <w:rsid w:val="74DE35DB"/>
    <w:rsid w:val="74EB460F"/>
    <w:rsid w:val="74ED7B6B"/>
    <w:rsid w:val="7502207A"/>
    <w:rsid w:val="75040BF1"/>
    <w:rsid w:val="75062CD8"/>
    <w:rsid w:val="75077D81"/>
    <w:rsid w:val="75191B2F"/>
    <w:rsid w:val="75202965"/>
    <w:rsid w:val="7525212C"/>
    <w:rsid w:val="753379B0"/>
    <w:rsid w:val="75372CE8"/>
    <w:rsid w:val="753A5176"/>
    <w:rsid w:val="753B1C65"/>
    <w:rsid w:val="75484A46"/>
    <w:rsid w:val="75522400"/>
    <w:rsid w:val="755A45B1"/>
    <w:rsid w:val="755D6C2F"/>
    <w:rsid w:val="756103A4"/>
    <w:rsid w:val="756C612D"/>
    <w:rsid w:val="756D06E2"/>
    <w:rsid w:val="757255CF"/>
    <w:rsid w:val="757A55A8"/>
    <w:rsid w:val="757D5B0D"/>
    <w:rsid w:val="757E59E5"/>
    <w:rsid w:val="7587038F"/>
    <w:rsid w:val="758C6A4A"/>
    <w:rsid w:val="75936744"/>
    <w:rsid w:val="75941DEA"/>
    <w:rsid w:val="75974966"/>
    <w:rsid w:val="759D7D8B"/>
    <w:rsid w:val="75A4474D"/>
    <w:rsid w:val="75AE7DC1"/>
    <w:rsid w:val="75B52F82"/>
    <w:rsid w:val="75B82788"/>
    <w:rsid w:val="75B9743A"/>
    <w:rsid w:val="75BE79E3"/>
    <w:rsid w:val="75C12D2B"/>
    <w:rsid w:val="75C25751"/>
    <w:rsid w:val="75C67BAC"/>
    <w:rsid w:val="75D60AAE"/>
    <w:rsid w:val="75D7160B"/>
    <w:rsid w:val="75DA15F3"/>
    <w:rsid w:val="75DB19B2"/>
    <w:rsid w:val="75DB6F7E"/>
    <w:rsid w:val="75DD687C"/>
    <w:rsid w:val="75E00D3F"/>
    <w:rsid w:val="75E42118"/>
    <w:rsid w:val="75E824E7"/>
    <w:rsid w:val="75E83113"/>
    <w:rsid w:val="75EB77B7"/>
    <w:rsid w:val="75F426A1"/>
    <w:rsid w:val="75FA5625"/>
    <w:rsid w:val="760309EA"/>
    <w:rsid w:val="760747F6"/>
    <w:rsid w:val="760C410A"/>
    <w:rsid w:val="760D7483"/>
    <w:rsid w:val="760F05AA"/>
    <w:rsid w:val="761107CD"/>
    <w:rsid w:val="76195465"/>
    <w:rsid w:val="761A35C0"/>
    <w:rsid w:val="761B7FB5"/>
    <w:rsid w:val="761F7050"/>
    <w:rsid w:val="762114B9"/>
    <w:rsid w:val="7622097A"/>
    <w:rsid w:val="762A41B3"/>
    <w:rsid w:val="762B0082"/>
    <w:rsid w:val="76364B0E"/>
    <w:rsid w:val="763720A8"/>
    <w:rsid w:val="763820AD"/>
    <w:rsid w:val="763B67EB"/>
    <w:rsid w:val="763F46B4"/>
    <w:rsid w:val="76433EF2"/>
    <w:rsid w:val="76435935"/>
    <w:rsid w:val="76495050"/>
    <w:rsid w:val="764B6D17"/>
    <w:rsid w:val="7651309A"/>
    <w:rsid w:val="76523766"/>
    <w:rsid w:val="76532D0C"/>
    <w:rsid w:val="76575854"/>
    <w:rsid w:val="765A64B9"/>
    <w:rsid w:val="765B5FC5"/>
    <w:rsid w:val="766028F3"/>
    <w:rsid w:val="76670D3C"/>
    <w:rsid w:val="766D7E8D"/>
    <w:rsid w:val="767411CC"/>
    <w:rsid w:val="7687303E"/>
    <w:rsid w:val="768900AB"/>
    <w:rsid w:val="768E7D22"/>
    <w:rsid w:val="768F08C3"/>
    <w:rsid w:val="768F5369"/>
    <w:rsid w:val="76931EFE"/>
    <w:rsid w:val="7696022E"/>
    <w:rsid w:val="7699559D"/>
    <w:rsid w:val="769F3400"/>
    <w:rsid w:val="76A97E80"/>
    <w:rsid w:val="76AB035E"/>
    <w:rsid w:val="76AB3359"/>
    <w:rsid w:val="76AD2725"/>
    <w:rsid w:val="76AF332D"/>
    <w:rsid w:val="76AF712C"/>
    <w:rsid w:val="76B003F8"/>
    <w:rsid w:val="76B6330F"/>
    <w:rsid w:val="76B84A6B"/>
    <w:rsid w:val="76B96C04"/>
    <w:rsid w:val="76C27FE1"/>
    <w:rsid w:val="76C46139"/>
    <w:rsid w:val="76CD6211"/>
    <w:rsid w:val="76D171BB"/>
    <w:rsid w:val="76E039E1"/>
    <w:rsid w:val="76E26FB6"/>
    <w:rsid w:val="76E34ABF"/>
    <w:rsid w:val="76F2395E"/>
    <w:rsid w:val="76F31266"/>
    <w:rsid w:val="76FC0D3E"/>
    <w:rsid w:val="77000FA8"/>
    <w:rsid w:val="77036484"/>
    <w:rsid w:val="77040D4E"/>
    <w:rsid w:val="77063A55"/>
    <w:rsid w:val="771615BC"/>
    <w:rsid w:val="77201F5A"/>
    <w:rsid w:val="772D539D"/>
    <w:rsid w:val="772E16C2"/>
    <w:rsid w:val="772F2AF3"/>
    <w:rsid w:val="773133C5"/>
    <w:rsid w:val="7738552A"/>
    <w:rsid w:val="773D2D5D"/>
    <w:rsid w:val="773F786B"/>
    <w:rsid w:val="77416220"/>
    <w:rsid w:val="77427342"/>
    <w:rsid w:val="77446BCC"/>
    <w:rsid w:val="77447B21"/>
    <w:rsid w:val="774570A1"/>
    <w:rsid w:val="77460BDA"/>
    <w:rsid w:val="77485F97"/>
    <w:rsid w:val="774C08B5"/>
    <w:rsid w:val="775152CF"/>
    <w:rsid w:val="776A75AE"/>
    <w:rsid w:val="776C07B1"/>
    <w:rsid w:val="776E6E7D"/>
    <w:rsid w:val="77700F4E"/>
    <w:rsid w:val="777B53F0"/>
    <w:rsid w:val="777E7888"/>
    <w:rsid w:val="77827F3C"/>
    <w:rsid w:val="77891759"/>
    <w:rsid w:val="778C5D71"/>
    <w:rsid w:val="778D16EC"/>
    <w:rsid w:val="778E653C"/>
    <w:rsid w:val="779A2783"/>
    <w:rsid w:val="77A67B3A"/>
    <w:rsid w:val="77A946BE"/>
    <w:rsid w:val="77AE069A"/>
    <w:rsid w:val="77B55F2E"/>
    <w:rsid w:val="77BB3206"/>
    <w:rsid w:val="77C83D3D"/>
    <w:rsid w:val="77D362CB"/>
    <w:rsid w:val="77D8618B"/>
    <w:rsid w:val="77E91EF5"/>
    <w:rsid w:val="77EF7250"/>
    <w:rsid w:val="77FC6E7A"/>
    <w:rsid w:val="780159B4"/>
    <w:rsid w:val="780D1D66"/>
    <w:rsid w:val="781047B3"/>
    <w:rsid w:val="7816305B"/>
    <w:rsid w:val="781B7F02"/>
    <w:rsid w:val="781D69C8"/>
    <w:rsid w:val="781F21E5"/>
    <w:rsid w:val="7825161E"/>
    <w:rsid w:val="7831063F"/>
    <w:rsid w:val="78326048"/>
    <w:rsid w:val="78353807"/>
    <w:rsid w:val="784255A8"/>
    <w:rsid w:val="78426A11"/>
    <w:rsid w:val="784722E4"/>
    <w:rsid w:val="784737CB"/>
    <w:rsid w:val="78487B79"/>
    <w:rsid w:val="78547446"/>
    <w:rsid w:val="78561255"/>
    <w:rsid w:val="785829AF"/>
    <w:rsid w:val="78597CBA"/>
    <w:rsid w:val="786210FA"/>
    <w:rsid w:val="786A223C"/>
    <w:rsid w:val="78780968"/>
    <w:rsid w:val="787F28F7"/>
    <w:rsid w:val="788673F4"/>
    <w:rsid w:val="78884A63"/>
    <w:rsid w:val="788E3893"/>
    <w:rsid w:val="789913C0"/>
    <w:rsid w:val="78A91515"/>
    <w:rsid w:val="78B1362F"/>
    <w:rsid w:val="78B24361"/>
    <w:rsid w:val="78C6433D"/>
    <w:rsid w:val="78CB2F33"/>
    <w:rsid w:val="78CF46F6"/>
    <w:rsid w:val="78D03882"/>
    <w:rsid w:val="78D30713"/>
    <w:rsid w:val="78D45310"/>
    <w:rsid w:val="78D458BE"/>
    <w:rsid w:val="78D85026"/>
    <w:rsid w:val="78DE3DC6"/>
    <w:rsid w:val="78DE650C"/>
    <w:rsid w:val="78E25B74"/>
    <w:rsid w:val="78EE0E4F"/>
    <w:rsid w:val="78EE60D2"/>
    <w:rsid w:val="78EE654B"/>
    <w:rsid w:val="78F46E96"/>
    <w:rsid w:val="78FB085C"/>
    <w:rsid w:val="78FC207D"/>
    <w:rsid w:val="78FE5543"/>
    <w:rsid w:val="78FE5FEE"/>
    <w:rsid w:val="79040AF0"/>
    <w:rsid w:val="7906658B"/>
    <w:rsid w:val="790773A8"/>
    <w:rsid w:val="790B7F56"/>
    <w:rsid w:val="79145FD5"/>
    <w:rsid w:val="79197CDB"/>
    <w:rsid w:val="791C38D3"/>
    <w:rsid w:val="79237D63"/>
    <w:rsid w:val="79244401"/>
    <w:rsid w:val="792A628A"/>
    <w:rsid w:val="792B2CAD"/>
    <w:rsid w:val="792B5F24"/>
    <w:rsid w:val="792E0DEE"/>
    <w:rsid w:val="79317A55"/>
    <w:rsid w:val="79336E02"/>
    <w:rsid w:val="793A6FE7"/>
    <w:rsid w:val="793E3F5B"/>
    <w:rsid w:val="79407FE6"/>
    <w:rsid w:val="79454FCA"/>
    <w:rsid w:val="794562E9"/>
    <w:rsid w:val="794D313C"/>
    <w:rsid w:val="79547BF1"/>
    <w:rsid w:val="795667EE"/>
    <w:rsid w:val="795A1670"/>
    <w:rsid w:val="795D3CAD"/>
    <w:rsid w:val="79641653"/>
    <w:rsid w:val="79664C14"/>
    <w:rsid w:val="79674257"/>
    <w:rsid w:val="796F1E88"/>
    <w:rsid w:val="79751916"/>
    <w:rsid w:val="79767E44"/>
    <w:rsid w:val="79776911"/>
    <w:rsid w:val="79782B7C"/>
    <w:rsid w:val="797C3D47"/>
    <w:rsid w:val="797D3C10"/>
    <w:rsid w:val="798119D3"/>
    <w:rsid w:val="79847C40"/>
    <w:rsid w:val="7993078C"/>
    <w:rsid w:val="79986787"/>
    <w:rsid w:val="79A50A5D"/>
    <w:rsid w:val="79AC02B0"/>
    <w:rsid w:val="79AC0682"/>
    <w:rsid w:val="79AE5F8C"/>
    <w:rsid w:val="79B377EC"/>
    <w:rsid w:val="79B43E2B"/>
    <w:rsid w:val="79BC73DF"/>
    <w:rsid w:val="79C05D74"/>
    <w:rsid w:val="79CD4D01"/>
    <w:rsid w:val="79D93AFA"/>
    <w:rsid w:val="79E27422"/>
    <w:rsid w:val="79E83360"/>
    <w:rsid w:val="79EA0FFD"/>
    <w:rsid w:val="79EE6915"/>
    <w:rsid w:val="7A0365DC"/>
    <w:rsid w:val="7A0C0BF9"/>
    <w:rsid w:val="7A0D0872"/>
    <w:rsid w:val="7A196562"/>
    <w:rsid w:val="7A2F7350"/>
    <w:rsid w:val="7A331F08"/>
    <w:rsid w:val="7A36441E"/>
    <w:rsid w:val="7A3C6C78"/>
    <w:rsid w:val="7A3F6347"/>
    <w:rsid w:val="7A473DB9"/>
    <w:rsid w:val="7A474737"/>
    <w:rsid w:val="7A4750E1"/>
    <w:rsid w:val="7A4C3830"/>
    <w:rsid w:val="7A4F543E"/>
    <w:rsid w:val="7A5A282C"/>
    <w:rsid w:val="7A5E093F"/>
    <w:rsid w:val="7A671FF3"/>
    <w:rsid w:val="7A6C0035"/>
    <w:rsid w:val="7A6C459A"/>
    <w:rsid w:val="7A6E2388"/>
    <w:rsid w:val="7A7227A3"/>
    <w:rsid w:val="7A73178E"/>
    <w:rsid w:val="7A7F4DF0"/>
    <w:rsid w:val="7A865059"/>
    <w:rsid w:val="7A8F476D"/>
    <w:rsid w:val="7A926788"/>
    <w:rsid w:val="7A986168"/>
    <w:rsid w:val="7A996C80"/>
    <w:rsid w:val="7AA310F2"/>
    <w:rsid w:val="7AA35E37"/>
    <w:rsid w:val="7AAD5BB2"/>
    <w:rsid w:val="7AB012FE"/>
    <w:rsid w:val="7AB12111"/>
    <w:rsid w:val="7AB8771C"/>
    <w:rsid w:val="7ABE7545"/>
    <w:rsid w:val="7AC008E5"/>
    <w:rsid w:val="7ACF3C60"/>
    <w:rsid w:val="7AD03662"/>
    <w:rsid w:val="7AD26AD0"/>
    <w:rsid w:val="7AD713BC"/>
    <w:rsid w:val="7ADC7DA0"/>
    <w:rsid w:val="7ADF7839"/>
    <w:rsid w:val="7AE57504"/>
    <w:rsid w:val="7AE61D55"/>
    <w:rsid w:val="7AEC7EBF"/>
    <w:rsid w:val="7AF67F29"/>
    <w:rsid w:val="7AFD3F33"/>
    <w:rsid w:val="7B0330C9"/>
    <w:rsid w:val="7B0B7491"/>
    <w:rsid w:val="7B145D8D"/>
    <w:rsid w:val="7B1C3518"/>
    <w:rsid w:val="7B2058A4"/>
    <w:rsid w:val="7B221D52"/>
    <w:rsid w:val="7B28618E"/>
    <w:rsid w:val="7B422126"/>
    <w:rsid w:val="7B42499F"/>
    <w:rsid w:val="7B4310C8"/>
    <w:rsid w:val="7B586292"/>
    <w:rsid w:val="7B5D2270"/>
    <w:rsid w:val="7B6426D2"/>
    <w:rsid w:val="7B6B4049"/>
    <w:rsid w:val="7B6E4B64"/>
    <w:rsid w:val="7B710A31"/>
    <w:rsid w:val="7B7761D9"/>
    <w:rsid w:val="7B7C146C"/>
    <w:rsid w:val="7B836939"/>
    <w:rsid w:val="7B877C54"/>
    <w:rsid w:val="7B9134BD"/>
    <w:rsid w:val="7B9B3460"/>
    <w:rsid w:val="7BA61F7D"/>
    <w:rsid w:val="7BAF5CE2"/>
    <w:rsid w:val="7BB01690"/>
    <w:rsid w:val="7BB16351"/>
    <w:rsid w:val="7BB34904"/>
    <w:rsid w:val="7BB62F65"/>
    <w:rsid w:val="7BB70181"/>
    <w:rsid w:val="7BC4535B"/>
    <w:rsid w:val="7BC46081"/>
    <w:rsid w:val="7BCB16C3"/>
    <w:rsid w:val="7BCB22CD"/>
    <w:rsid w:val="7BCC298F"/>
    <w:rsid w:val="7BD0094A"/>
    <w:rsid w:val="7BDC0D2B"/>
    <w:rsid w:val="7BE134A6"/>
    <w:rsid w:val="7BE329F4"/>
    <w:rsid w:val="7BE779B4"/>
    <w:rsid w:val="7BEE66E5"/>
    <w:rsid w:val="7BF3156A"/>
    <w:rsid w:val="7BF67CE9"/>
    <w:rsid w:val="7BF71225"/>
    <w:rsid w:val="7BFD241F"/>
    <w:rsid w:val="7C04475F"/>
    <w:rsid w:val="7C066981"/>
    <w:rsid w:val="7C0774FA"/>
    <w:rsid w:val="7C0908E9"/>
    <w:rsid w:val="7C102CB3"/>
    <w:rsid w:val="7C117799"/>
    <w:rsid w:val="7C14034B"/>
    <w:rsid w:val="7C144839"/>
    <w:rsid w:val="7C171150"/>
    <w:rsid w:val="7C17381A"/>
    <w:rsid w:val="7C2D6C34"/>
    <w:rsid w:val="7C305516"/>
    <w:rsid w:val="7C3779AA"/>
    <w:rsid w:val="7C3C2BF8"/>
    <w:rsid w:val="7C48163E"/>
    <w:rsid w:val="7C546220"/>
    <w:rsid w:val="7C5A4A36"/>
    <w:rsid w:val="7C5B25F7"/>
    <w:rsid w:val="7C63439C"/>
    <w:rsid w:val="7C650448"/>
    <w:rsid w:val="7C7105A4"/>
    <w:rsid w:val="7C726267"/>
    <w:rsid w:val="7C9317D9"/>
    <w:rsid w:val="7C9711B4"/>
    <w:rsid w:val="7C9D36AC"/>
    <w:rsid w:val="7CA36ACC"/>
    <w:rsid w:val="7CA75D00"/>
    <w:rsid w:val="7CAE532D"/>
    <w:rsid w:val="7CAE73DF"/>
    <w:rsid w:val="7CBB5935"/>
    <w:rsid w:val="7CBD5E1E"/>
    <w:rsid w:val="7CD05788"/>
    <w:rsid w:val="7CDB126F"/>
    <w:rsid w:val="7CE0244A"/>
    <w:rsid w:val="7CE36B2C"/>
    <w:rsid w:val="7CE6795A"/>
    <w:rsid w:val="7CEC3BD7"/>
    <w:rsid w:val="7CF40623"/>
    <w:rsid w:val="7CF710D6"/>
    <w:rsid w:val="7CF82E24"/>
    <w:rsid w:val="7CF8444C"/>
    <w:rsid w:val="7D011C35"/>
    <w:rsid w:val="7D0666C5"/>
    <w:rsid w:val="7D0676C3"/>
    <w:rsid w:val="7D155CA8"/>
    <w:rsid w:val="7D1E6F60"/>
    <w:rsid w:val="7D2840E2"/>
    <w:rsid w:val="7D314D1A"/>
    <w:rsid w:val="7D323383"/>
    <w:rsid w:val="7D357FD6"/>
    <w:rsid w:val="7D36291A"/>
    <w:rsid w:val="7D3B6A5D"/>
    <w:rsid w:val="7D3E1F94"/>
    <w:rsid w:val="7D413253"/>
    <w:rsid w:val="7D473E80"/>
    <w:rsid w:val="7D484985"/>
    <w:rsid w:val="7D4A65D4"/>
    <w:rsid w:val="7D4B0589"/>
    <w:rsid w:val="7D516F35"/>
    <w:rsid w:val="7D5356AC"/>
    <w:rsid w:val="7D590603"/>
    <w:rsid w:val="7D5C141B"/>
    <w:rsid w:val="7D6A29C1"/>
    <w:rsid w:val="7D744717"/>
    <w:rsid w:val="7D766F1F"/>
    <w:rsid w:val="7D7703E4"/>
    <w:rsid w:val="7D792BFE"/>
    <w:rsid w:val="7D7A3784"/>
    <w:rsid w:val="7D7C47F9"/>
    <w:rsid w:val="7D80721F"/>
    <w:rsid w:val="7D816EC1"/>
    <w:rsid w:val="7D86626D"/>
    <w:rsid w:val="7D89693E"/>
    <w:rsid w:val="7D8A3AB9"/>
    <w:rsid w:val="7D8F1815"/>
    <w:rsid w:val="7D930D9E"/>
    <w:rsid w:val="7D931DE0"/>
    <w:rsid w:val="7D933008"/>
    <w:rsid w:val="7D977690"/>
    <w:rsid w:val="7D9A4D3B"/>
    <w:rsid w:val="7D9C12A6"/>
    <w:rsid w:val="7DA40D12"/>
    <w:rsid w:val="7DB60ACE"/>
    <w:rsid w:val="7DB92F00"/>
    <w:rsid w:val="7DB956F2"/>
    <w:rsid w:val="7DBD5EF8"/>
    <w:rsid w:val="7DBE49DF"/>
    <w:rsid w:val="7DC5369E"/>
    <w:rsid w:val="7DC86317"/>
    <w:rsid w:val="7DD110DE"/>
    <w:rsid w:val="7DDB20E4"/>
    <w:rsid w:val="7DDC5CAE"/>
    <w:rsid w:val="7DDD3C58"/>
    <w:rsid w:val="7DDD441F"/>
    <w:rsid w:val="7DDF26CF"/>
    <w:rsid w:val="7DE004E0"/>
    <w:rsid w:val="7DE10B81"/>
    <w:rsid w:val="7DE65F8C"/>
    <w:rsid w:val="7DEB122E"/>
    <w:rsid w:val="7DF66782"/>
    <w:rsid w:val="7E043332"/>
    <w:rsid w:val="7E11118F"/>
    <w:rsid w:val="7E1B21BA"/>
    <w:rsid w:val="7E1B5003"/>
    <w:rsid w:val="7E210E16"/>
    <w:rsid w:val="7E2E590D"/>
    <w:rsid w:val="7E3164FE"/>
    <w:rsid w:val="7E3B5993"/>
    <w:rsid w:val="7E420CEA"/>
    <w:rsid w:val="7E445899"/>
    <w:rsid w:val="7E4612D2"/>
    <w:rsid w:val="7E480029"/>
    <w:rsid w:val="7E4E59A1"/>
    <w:rsid w:val="7E50643B"/>
    <w:rsid w:val="7E597CD7"/>
    <w:rsid w:val="7E623BDD"/>
    <w:rsid w:val="7E646C40"/>
    <w:rsid w:val="7E682AF4"/>
    <w:rsid w:val="7E690462"/>
    <w:rsid w:val="7E6A3B72"/>
    <w:rsid w:val="7E715604"/>
    <w:rsid w:val="7E787692"/>
    <w:rsid w:val="7E7A5970"/>
    <w:rsid w:val="7E7F6999"/>
    <w:rsid w:val="7E861DA0"/>
    <w:rsid w:val="7E891B09"/>
    <w:rsid w:val="7E9132FB"/>
    <w:rsid w:val="7E950543"/>
    <w:rsid w:val="7EA52415"/>
    <w:rsid w:val="7EA54DEF"/>
    <w:rsid w:val="7EA91315"/>
    <w:rsid w:val="7EC06781"/>
    <w:rsid w:val="7ECF1F3E"/>
    <w:rsid w:val="7ED61786"/>
    <w:rsid w:val="7ED97E54"/>
    <w:rsid w:val="7EDB452D"/>
    <w:rsid w:val="7EDC652F"/>
    <w:rsid w:val="7EDF109A"/>
    <w:rsid w:val="7EE70BC1"/>
    <w:rsid w:val="7EF210A1"/>
    <w:rsid w:val="7EF35C84"/>
    <w:rsid w:val="7F0429EA"/>
    <w:rsid w:val="7F0A4AEC"/>
    <w:rsid w:val="7F0D475B"/>
    <w:rsid w:val="7F122A84"/>
    <w:rsid w:val="7F1659B3"/>
    <w:rsid w:val="7F173A8A"/>
    <w:rsid w:val="7F1F2CD5"/>
    <w:rsid w:val="7F202501"/>
    <w:rsid w:val="7F25027A"/>
    <w:rsid w:val="7F255574"/>
    <w:rsid w:val="7F2B66DD"/>
    <w:rsid w:val="7F2C7D9A"/>
    <w:rsid w:val="7F2D2D90"/>
    <w:rsid w:val="7F2E4DD6"/>
    <w:rsid w:val="7F30070A"/>
    <w:rsid w:val="7F343F68"/>
    <w:rsid w:val="7F397C9F"/>
    <w:rsid w:val="7F3C4B77"/>
    <w:rsid w:val="7F3E6CC1"/>
    <w:rsid w:val="7F425028"/>
    <w:rsid w:val="7F504F2F"/>
    <w:rsid w:val="7F511F5F"/>
    <w:rsid w:val="7F545272"/>
    <w:rsid w:val="7F65742B"/>
    <w:rsid w:val="7F740400"/>
    <w:rsid w:val="7F7F111A"/>
    <w:rsid w:val="7F813CBA"/>
    <w:rsid w:val="7F882981"/>
    <w:rsid w:val="7F8A1F60"/>
    <w:rsid w:val="7F9273F2"/>
    <w:rsid w:val="7F9D7279"/>
    <w:rsid w:val="7FA236B3"/>
    <w:rsid w:val="7FA252EE"/>
    <w:rsid w:val="7FA34C3A"/>
    <w:rsid w:val="7FA72463"/>
    <w:rsid w:val="7FA811F4"/>
    <w:rsid w:val="7FBF6447"/>
    <w:rsid w:val="7FC31381"/>
    <w:rsid w:val="7FC441A9"/>
    <w:rsid w:val="7FC9033D"/>
    <w:rsid w:val="7FC922DA"/>
    <w:rsid w:val="7FCD2732"/>
    <w:rsid w:val="7FCE46AF"/>
    <w:rsid w:val="7FE04EAD"/>
    <w:rsid w:val="7FED7B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nhideWhenUsed="0" w:uiPriority="99"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name="List Number"/>
    <w:lsdException w:qFormat="1" w:uiPriority="99" w:semiHidden="0" w:name="List 2"/>
    <w:lsdException w:qFormat="1" w:uiPriority="99"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before="30" w:beforeLines="30" w:after="30" w:afterLines="30" w:line="288" w:lineRule="auto"/>
      <w:jc w:val="both"/>
    </w:pPr>
    <w:rPr>
      <w:rFonts w:ascii="Times New Roman" w:hAnsi="Times New Roman" w:eastAsia="Times New Roman" w:cs="Times New Roman"/>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spacing w:before="50" w:beforeLines="50" w:after="50" w:afterLines="50" w:line="360" w:lineRule="auto"/>
      <w:ind w:left="431" w:hanging="431"/>
      <w:outlineLvl w:val="0"/>
    </w:pPr>
    <w:rPr>
      <w:rFonts w:eastAsia="黑体"/>
      <w:b/>
      <w:bCs/>
      <w:sz w:val="30"/>
      <w:szCs w:val="30"/>
      <w:lang w:val="zh-CN"/>
    </w:rPr>
  </w:style>
  <w:style w:type="paragraph" w:styleId="3">
    <w:name w:val="heading 2"/>
    <w:basedOn w:val="2"/>
    <w:next w:val="1"/>
    <w:link w:val="34"/>
    <w:qFormat/>
    <w:uiPriority w:val="0"/>
    <w:pPr>
      <w:keepNext/>
      <w:keepLines/>
      <w:numPr>
        <w:ilvl w:val="1"/>
      </w:numPr>
      <w:spacing w:line="240" w:lineRule="atLeast"/>
      <w:outlineLvl w:val="1"/>
    </w:pPr>
    <w:rPr>
      <w:rFonts w:eastAsia="宋体"/>
      <w:kern w:val="2"/>
      <w:sz w:val="24"/>
      <w:szCs w:val="24"/>
    </w:rPr>
  </w:style>
  <w:style w:type="paragraph" w:styleId="4">
    <w:name w:val="heading 3"/>
    <w:basedOn w:val="3"/>
    <w:next w:val="1"/>
    <w:link w:val="36"/>
    <w:qFormat/>
    <w:uiPriority w:val="9"/>
    <w:pPr>
      <w:numPr>
        <w:ilvl w:val="2"/>
        <w:numId w:val="2"/>
      </w:numPr>
      <w:tabs>
        <w:tab w:val="left" w:pos="1140"/>
        <w:tab w:val="clear" w:pos="432"/>
      </w:tabs>
      <w:spacing w:line="240" w:lineRule="auto"/>
      <w:outlineLvl w:val="2"/>
    </w:pPr>
    <w:rPr>
      <w:sz w:val="22"/>
      <w:szCs w:val="32"/>
    </w:rPr>
  </w:style>
  <w:style w:type="paragraph" w:styleId="5">
    <w:name w:val="heading 4"/>
    <w:basedOn w:val="4"/>
    <w:next w:val="1"/>
    <w:link w:val="95"/>
    <w:qFormat/>
    <w:uiPriority w:val="0"/>
    <w:pPr>
      <w:tabs>
        <w:tab w:val="left" w:pos="432"/>
        <w:tab w:val="clear" w:pos="720"/>
        <w:tab w:val="clear" w:pos="1140"/>
      </w:tabs>
      <w:overflowPunct w:val="0"/>
      <w:textAlignment w:val="baseline"/>
      <w:outlineLvl w:val="3"/>
    </w:pPr>
    <w:rPr>
      <w:szCs w:val="28"/>
    </w:rPr>
  </w:style>
  <w:style w:type="paragraph" w:styleId="6">
    <w:name w:val="heading 5"/>
    <w:basedOn w:val="5"/>
    <w:next w:val="1"/>
    <w:link w:val="99"/>
    <w:qFormat/>
    <w:uiPriority w:val="0"/>
    <w:pPr>
      <w:outlineLvl w:val="4"/>
    </w:pPr>
    <w:rPr>
      <w:szCs w:val="24"/>
    </w:rPr>
  </w:style>
  <w:style w:type="paragraph" w:styleId="7">
    <w:name w:val="heading 6"/>
    <w:basedOn w:val="1"/>
    <w:next w:val="1"/>
    <w:link w:val="94"/>
    <w:qFormat/>
    <w:uiPriority w:val="9"/>
    <w:pPr>
      <w:keepNext/>
      <w:keepLines/>
      <w:numPr>
        <w:ilvl w:val="5"/>
        <w:numId w:val="1"/>
      </w:numPr>
      <w:tabs>
        <w:tab w:val="left" w:pos="432"/>
      </w:tabs>
      <w:spacing w:before="240" w:after="64" w:line="320" w:lineRule="auto"/>
      <w:outlineLvl w:val="5"/>
    </w:pPr>
    <w:rPr>
      <w:rFonts w:ascii="Cambria" w:hAnsi="Cambria" w:cs="黑体"/>
      <w:b/>
      <w:bCs/>
      <w:sz w:val="24"/>
      <w:szCs w:val="24"/>
    </w:rPr>
  </w:style>
  <w:style w:type="paragraph" w:styleId="8">
    <w:name w:val="heading 7"/>
    <w:basedOn w:val="1"/>
    <w:next w:val="1"/>
    <w:link w:val="85"/>
    <w:qFormat/>
    <w:uiPriority w:val="9"/>
    <w:pPr>
      <w:keepNext/>
      <w:keepLines/>
      <w:numPr>
        <w:ilvl w:val="6"/>
        <w:numId w:val="1"/>
      </w:numPr>
      <w:tabs>
        <w:tab w:val="left" w:pos="432"/>
      </w:tabs>
      <w:spacing w:before="240" w:after="64" w:line="320" w:lineRule="auto"/>
      <w:outlineLvl w:val="6"/>
    </w:pPr>
    <w:rPr>
      <w:b/>
      <w:bCs/>
      <w:sz w:val="24"/>
      <w:szCs w:val="24"/>
    </w:rPr>
  </w:style>
  <w:style w:type="paragraph" w:styleId="9">
    <w:name w:val="heading 8"/>
    <w:basedOn w:val="1"/>
    <w:next w:val="1"/>
    <w:link w:val="102"/>
    <w:qFormat/>
    <w:uiPriority w:val="9"/>
    <w:pPr>
      <w:keepNext/>
      <w:keepLines/>
      <w:numPr>
        <w:ilvl w:val="7"/>
        <w:numId w:val="1"/>
      </w:numPr>
      <w:tabs>
        <w:tab w:val="left" w:pos="432"/>
      </w:tabs>
      <w:spacing w:before="240" w:after="64" w:line="320" w:lineRule="auto"/>
      <w:outlineLvl w:val="7"/>
    </w:pPr>
    <w:rPr>
      <w:rFonts w:ascii="Cambria" w:hAnsi="Cambria" w:cs="黑体"/>
      <w:sz w:val="24"/>
      <w:szCs w:val="24"/>
    </w:rPr>
  </w:style>
  <w:style w:type="paragraph" w:styleId="10">
    <w:name w:val="heading 9"/>
    <w:basedOn w:val="1"/>
    <w:next w:val="1"/>
    <w:link w:val="96"/>
    <w:qFormat/>
    <w:uiPriority w:val="9"/>
    <w:pPr>
      <w:keepNext/>
      <w:keepLines/>
      <w:numPr>
        <w:ilvl w:val="8"/>
        <w:numId w:val="1"/>
      </w:numPr>
      <w:tabs>
        <w:tab w:val="left" w:pos="432"/>
      </w:tabs>
      <w:spacing w:before="240" w:after="64" w:line="320" w:lineRule="auto"/>
      <w:outlineLvl w:val="8"/>
    </w:pPr>
    <w:rPr>
      <w:rFonts w:ascii="Cambria" w:hAnsi="Cambria" w:cs="黑体"/>
      <w:sz w:val="21"/>
      <w:szCs w:val="21"/>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ind w:firstLine="420"/>
    </w:pPr>
    <w:rPr>
      <w:kern w:val="2"/>
      <w:sz w:val="21"/>
      <w:szCs w:val="20"/>
    </w:rPr>
  </w:style>
  <w:style w:type="paragraph" w:styleId="13">
    <w:name w:val="caption"/>
    <w:basedOn w:val="1"/>
    <w:next w:val="1"/>
    <w:link w:val="100"/>
    <w:qFormat/>
    <w:uiPriority w:val="0"/>
    <w:pPr>
      <w:tabs>
        <w:tab w:val="left" w:pos="1418"/>
      </w:tabs>
      <w:spacing w:before="120" w:after="120"/>
    </w:pPr>
    <w:rPr>
      <w:b/>
      <w:bCs/>
      <w:szCs w:val="20"/>
    </w:rPr>
  </w:style>
  <w:style w:type="paragraph" w:styleId="14">
    <w:name w:val="Document Map"/>
    <w:basedOn w:val="1"/>
    <w:link w:val="111"/>
    <w:unhideWhenUsed/>
    <w:qFormat/>
    <w:uiPriority w:val="0"/>
    <w:rPr>
      <w:rFonts w:ascii="宋体"/>
      <w:sz w:val="18"/>
      <w:szCs w:val="18"/>
    </w:rPr>
  </w:style>
  <w:style w:type="paragraph" w:styleId="15">
    <w:name w:val="annotation text"/>
    <w:basedOn w:val="1"/>
    <w:link w:val="105"/>
    <w:unhideWhenUsed/>
    <w:qFormat/>
    <w:uiPriority w:val="99"/>
    <w:rPr>
      <w:szCs w:val="20"/>
    </w:rPr>
  </w:style>
  <w:style w:type="paragraph" w:styleId="16">
    <w:name w:val="Body Text"/>
    <w:basedOn w:val="1"/>
    <w:link w:val="87"/>
    <w:qFormat/>
    <w:uiPriority w:val="0"/>
    <w:pPr>
      <w:widowControl w:val="0"/>
    </w:pPr>
    <w:rPr>
      <w:color w:val="000000"/>
      <w:kern w:val="2"/>
      <w:sz w:val="21"/>
      <w:szCs w:val="20"/>
    </w:rPr>
  </w:style>
  <w:style w:type="paragraph" w:styleId="17">
    <w:name w:val="Body Text Indent"/>
    <w:basedOn w:val="1"/>
    <w:link w:val="101"/>
    <w:unhideWhenUsed/>
    <w:qFormat/>
    <w:uiPriority w:val="99"/>
    <w:pPr>
      <w:spacing w:after="120"/>
      <w:ind w:left="360"/>
    </w:pPr>
  </w:style>
  <w:style w:type="paragraph" w:styleId="18">
    <w:name w:val="List 2"/>
    <w:basedOn w:val="19"/>
    <w:unhideWhenUsed/>
    <w:qFormat/>
    <w:uiPriority w:val="99"/>
    <w:pPr>
      <w:ind w:left="851"/>
    </w:pPr>
  </w:style>
  <w:style w:type="paragraph" w:styleId="19">
    <w:name w:val="List"/>
    <w:basedOn w:val="1"/>
    <w:unhideWhenUsed/>
    <w:qFormat/>
    <w:uiPriority w:val="99"/>
    <w:pPr>
      <w:ind w:left="568" w:hanging="284"/>
    </w:pPr>
  </w:style>
  <w:style w:type="paragraph" w:styleId="20">
    <w:name w:val="Plain Text"/>
    <w:basedOn w:val="1"/>
    <w:link w:val="97"/>
    <w:unhideWhenUsed/>
    <w:qFormat/>
    <w:uiPriority w:val="99"/>
    <w:rPr>
      <w:rFonts w:eastAsia="Calibri"/>
      <w:szCs w:val="21"/>
      <w:lang w:eastAsia="en-US"/>
    </w:rPr>
  </w:style>
  <w:style w:type="paragraph" w:styleId="21">
    <w:name w:val="Date"/>
    <w:basedOn w:val="1"/>
    <w:next w:val="1"/>
    <w:link w:val="88"/>
    <w:unhideWhenUsed/>
    <w:qFormat/>
    <w:uiPriority w:val="99"/>
    <w:pPr>
      <w:ind w:left="100" w:leftChars="2500"/>
    </w:pPr>
  </w:style>
  <w:style w:type="paragraph" w:styleId="22">
    <w:name w:val="Balloon Text"/>
    <w:basedOn w:val="1"/>
    <w:link w:val="109"/>
    <w:unhideWhenUsed/>
    <w:qFormat/>
    <w:uiPriority w:val="99"/>
    <w:rPr>
      <w:rFonts w:ascii="Tahoma" w:hAnsi="Tahoma"/>
      <w:sz w:val="16"/>
      <w:szCs w:val="16"/>
    </w:rPr>
  </w:style>
  <w:style w:type="paragraph" w:styleId="23">
    <w:name w:val="footer"/>
    <w:basedOn w:val="1"/>
    <w:link w:val="104"/>
    <w:unhideWhenUsed/>
    <w:qFormat/>
    <w:uiPriority w:val="99"/>
    <w:pPr>
      <w:tabs>
        <w:tab w:val="center" w:pos="4153"/>
        <w:tab w:val="right" w:pos="8306"/>
      </w:tabs>
    </w:pPr>
    <w:rPr>
      <w:sz w:val="18"/>
      <w:szCs w:val="18"/>
    </w:rPr>
  </w:style>
  <w:style w:type="paragraph" w:styleId="24">
    <w:name w:val="header"/>
    <w:basedOn w:val="1"/>
    <w:link w:val="92"/>
    <w:qFormat/>
    <w:uiPriority w:val="99"/>
    <w:pPr>
      <w:tabs>
        <w:tab w:val="center" w:pos="4536"/>
        <w:tab w:val="right" w:pos="9072"/>
      </w:tabs>
    </w:pPr>
    <w:rPr>
      <w:rFonts w:ascii="Arial" w:hAnsi="Arial" w:eastAsia="MS Mincho"/>
      <w:b/>
      <w:szCs w:val="24"/>
      <w:lang w:eastAsia="en-US"/>
    </w:rPr>
  </w:style>
  <w:style w:type="paragraph" w:styleId="25">
    <w:name w:val="Normal (Web)"/>
    <w:basedOn w:val="1"/>
    <w:unhideWhenUsed/>
    <w:qFormat/>
    <w:uiPriority w:val="99"/>
    <w:rPr>
      <w:rFonts w:ascii="宋体" w:hAnsi="宋体" w:cs="宋体"/>
      <w:sz w:val="24"/>
      <w:szCs w:val="24"/>
    </w:rPr>
  </w:style>
  <w:style w:type="paragraph" w:styleId="26">
    <w:name w:val="annotation subject"/>
    <w:basedOn w:val="15"/>
    <w:next w:val="15"/>
    <w:link w:val="90"/>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basedOn w:val="29"/>
    <w:qFormat/>
    <w:uiPriority w:val="22"/>
    <w:rPr>
      <w:b/>
      <w:bCs/>
    </w:rPr>
  </w:style>
  <w:style w:type="character" w:styleId="31">
    <w:name w:val="Emphasis"/>
    <w:basedOn w:val="29"/>
    <w:qFormat/>
    <w:uiPriority w:val="20"/>
    <w:rPr>
      <w:i/>
    </w:rPr>
  </w:style>
  <w:style w:type="character" w:styleId="32">
    <w:name w:val="Hyperlink"/>
    <w:unhideWhenUsed/>
    <w:qFormat/>
    <w:uiPriority w:val="99"/>
    <w:rPr>
      <w:color w:val="0000FF"/>
      <w:u w:val="single"/>
    </w:rPr>
  </w:style>
  <w:style w:type="character" w:styleId="33">
    <w:name w:val="annotation reference"/>
    <w:unhideWhenUsed/>
    <w:qFormat/>
    <w:uiPriority w:val="99"/>
    <w:rPr>
      <w:sz w:val="16"/>
      <w:szCs w:val="16"/>
    </w:rPr>
  </w:style>
  <w:style w:type="character" w:customStyle="1" w:styleId="34">
    <w:name w:val="Heading 2 Char"/>
    <w:link w:val="3"/>
    <w:qFormat/>
    <w:uiPriority w:val="0"/>
    <w:rPr>
      <w:rFonts w:ascii="Times New Roman" w:hAnsi="Times New Roman" w:eastAsia="宋体"/>
      <w:b/>
      <w:bCs/>
      <w:kern w:val="2"/>
      <w:sz w:val="24"/>
      <w:szCs w:val="24"/>
      <w:lang w:val="zh-CN"/>
    </w:rPr>
  </w:style>
  <w:style w:type="character" w:customStyle="1" w:styleId="35">
    <w:name w:val="Heading 1 Char"/>
    <w:link w:val="2"/>
    <w:qFormat/>
    <w:uiPriority w:val="99"/>
    <w:rPr>
      <w:rFonts w:ascii="Times New Roman" w:hAnsi="Times New Roman" w:eastAsia="黑体"/>
      <w:b/>
      <w:bCs/>
      <w:sz w:val="30"/>
      <w:szCs w:val="30"/>
      <w:lang w:val="zh-CN" w:eastAsia="zh-CN"/>
    </w:rPr>
  </w:style>
  <w:style w:type="character" w:customStyle="1" w:styleId="36">
    <w:name w:val="Heading 3 Char"/>
    <w:link w:val="4"/>
    <w:qFormat/>
    <w:uiPriority w:val="9"/>
    <w:rPr>
      <w:rFonts w:ascii="Times New Roman" w:hAnsi="Times New Roman" w:eastAsia="宋体"/>
      <w:b/>
      <w:bCs/>
      <w:sz w:val="22"/>
      <w:szCs w:val="32"/>
      <w:lang w:val="en-US" w:eastAsia="zh-CN"/>
    </w:rPr>
  </w:style>
  <w:style w:type="paragraph" w:customStyle="1" w:styleId="37">
    <w:name w:val="TH"/>
    <w:basedOn w:val="1"/>
    <w:link w:val="86"/>
    <w:qFormat/>
    <w:uiPriority w:val="0"/>
    <w:pPr>
      <w:keepNext/>
      <w:keepLines/>
      <w:spacing w:before="60" w:after="180"/>
      <w:jc w:val="center"/>
    </w:pPr>
    <w:rPr>
      <w:rFonts w:ascii="Arial" w:hAnsi="Arial"/>
      <w:b/>
      <w:szCs w:val="20"/>
      <w:lang w:eastAsia="en-US"/>
    </w:rPr>
  </w:style>
  <w:style w:type="paragraph" w:customStyle="1" w:styleId="38">
    <w:name w:val="列出段落5"/>
    <w:basedOn w:val="1"/>
    <w:unhideWhenUsed/>
    <w:qFormat/>
    <w:uiPriority w:val="99"/>
    <w:pPr>
      <w:ind w:firstLine="420" w:firstLineChars="200"/>
    </w:pPr>
  </w:style>
  <w:style w:type="paragraph" w:customStyle="1" w:styleId="39">
    <w:name w:val="EQ"/>
    <w:basedOn w:val="1"/>
    <w:next w:val="1"/>
    <w:qFormat/>
    <w:uiPriority w:val="0"/>
    <w:pPr>
      <w:keepLines/>
      <w:tabs>
        <w:tab w:val="center" w:pos="4536"/>
        <w:tab w:val="right" w:pos="9072"/>
      </w:tabs>
      <w:overflowPunct w:val="0"/>
      <w:spacing w:after="180"/>
      <w:textAlignment w:val="baseline"/>
    </w:pPr>
  </w:style>
  <w:style w:type="paragraph" w:customStyle="1" w:styleId="40">
    <w:name w:val="样式 ！正文"/>
    <w:basedOn w:val="1"/>
    <w:qFormat/>
    <w:uiPriority w:val="0"/>
    <w:pPr>
      <w:widowControl w:val="0"/>
      <w:spacing w:before="40" w:after="40" w:line="300" w:lineRule="auto"/>
      <w:ind w:firstLine="420"/>
    </w:pPr>
    <w:rPr>
      <w:rFonts w:cs="宋体"/>
      <w:kern w:val="2"/>
      <w:sz w:val="21"/>
      <w:szCs w:val="20"/>
    </w:rPr>
  </w:style>
  <w:style w:type="paragraph" w:customStyle="1" w:styleId="41">
    <w:name w:val="List Paragraph5"/>
    <w:basedOn w:val="1"/>
    <w:qFormat/>
    <w:uiPriority w:val="99"/>
    <w:pPr>
      <w:ind w:firstLine="420" w:firstLineChars="200"/>
    </w:pPr>
  </w:style>
  <w:style w:type="paragraph" w:customStyle="1" w:styleId="42">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43">
    <w:name w:val="TAH"/>
    <w:basedOn w:val="44"/>
    <w:link w:val="117"/>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b/>
    </w:rPr>
  </w:style>
  <w:style w:type="paragraph" w:customStyle="1" w:styleId="44">
    <w:name w:val="TAC"/>
    <w:basedOn w:val="45"/>
    <w:link w:val="116"/>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center"/>
    </w:pPr>
    <w:rPr>
      <w:szCs w:val="20"/>
      <w:lang w:eastAsia="en-US"/>
    </w:rPr>
  </w:style>
  <w:style w:type="paragraph" w:customStyle="1" w:styleId="45">
    <w:name w:val="TAL"/>
    <w:basedOn w:val="1"/>
    <w:qFormat/>
    <w:uiPriority w:val="0"/>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46">
    <w:name w:val="列出段落4"/>
    <w:basedOn w:val="1"/>
    <w:qFormat/>
    <w:uiPriority w:val="99"/>
    <w:pPr>
      <w:ind w:firstLine="420" w:firstLineChars="200"/>
    </w:pPr>
  </w:style>
  <w:style w:type="paragraph" w:customStyle="1" w:styleId="47">
    <w:name w:val="LGTdoc_본문"/>
    <w:basedOn w:val="1"/>
    <w:qFormat/>
    <w:uiPriority w:val="0"/>
    <w:pPr>
      <w:widowControl w:val="0"/>
      <w:autoSpaceDE w:val="0"/>
      <w:autoSpaceDN w:val="0"/>
      <w:spacing w:line="264" w:lineRule="auto"/>
    </w:pPr>
    <w:rPr>
      <w:kern w:val="2"/>
      <w:sz w:val="22"/>
      <w:lang w:eastAsia="ko-KR"/>
    </w:rPr>
  </w:style>
  <w:style w:type="paragraph" w:customStyle="1" w:styleId="4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49">
    <w:name w:val="TAN"/>
    <w:basedOn w:val="1"/>
    <w:qFormat/>
    <w:uiPriority w:val="0"/>
    <w:pPr>
      <w:keepNext/>
      <w:keepLines/>
      <w:ind w:left="851" w:hanging="851"/>
    </w:pPr>
    <w:rPr>
      <w:rFonts w:ascii="Arial" w:hAnsi="Arial"/>
      <w:sz w:val="18"/>
      <w:szCs w:val="20"/>
      <w:lang w:eastAsia="en-US"/>
    </w:rPr>
  </w:style>
  <w:style w:type="paragraph" w:styleId="50">
    <w:name w:val="List Paragraph"/>
    <w:basedOn w:val="1"/>
    <w:link w:val="118"/>
    <w:qFormat/>
    <w:uiPriority w:val="34"/>
    <w:pPr>
      <w:ind w:left="840" w:leftChars="400"/>
    </w:pPr>
    <w:rPr>
      <w:rFonts w:ascii="Times" w:hAnsi="Times" w:eastAsia="Batang"/>
      <w:szCs w:val="24"/>
      <w:lang w:val="en-GB"/>
    </w:rPr>
  </w:style>
  <w:style w:type="paragraph" w:customStyle="1" w:styleId="51">
    <w:name w:val="修订2"/>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52">
    <w:name w:val="List Paragraph4"/>
    <w:basedOn w:val="1"/>
    <w:qFormat/>
    <w:uiPriority w:val="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720"/>
      <w:contextualSpacing/>
    </w:pPr>
    <w:rPr>
      <w:sz w:val="24"/>
    </w:rPr>
  </w:style>
  <w:style w:type="paragraph" w:customStyle="1" w:styleId="53">
    <w:name w:val="List Paragraph9"/>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firstLine="420" w:firstLineChars="200"/>
    </w:pPr>
    <w:rPr>
      <w:rFonts w:eastAsia="宋体"/>
    </w:rPr>
  </w:style>
  <w:style w:type="paragraph" w:customStyle="1" w:styleId="54">
    <w:name w:val="List Paragraph3"/>
    <w:basedOn w:val="1"/>
    <w:qFormat/>
    <w:uiPriority w:val="99"/>
    <w:pPr>
      <w:ind w:firstLine="420" w:firstLineChars="200"/>
    </w:pPr>
  </w:style>
  <w:style w:type="paragraph" w:customStyle="1" w:styleId="55">
    <w:name w:val="Doc-text2"/>
    <w:basedOn w:val="1"/>
    <w:link w:val="112"/>
    <w:qFormat/>
    <w:uiPriority w:val="0"/>
    <w:pPr>
      <w:tabs>
        <w:tab w:val="left" w:pos="1622"/>
      </w:tabs>
      <w:ind w:left="1622" w:hanging="363"/>
    </w:pPr>
    <w:rPr>
      <w:rFonts w:ascii="Arial" w:hAnsi="Arial" w:eastAsia="MS Mincho"/>
      <w:szCs w:val="24"/>
    </w:rPr>
  </w:style>
  <w:style w:type="paragraph" w:customStyle="1" w:styleId="56">
    <w:name w:val="B2"/>
    <w:basedOn w:val="18"/>
    <w:qFormat/>
    <w:uiPriority w:val="0"/>
  </w:style>
  <w:style w:type="paragraph" w:customStyle="1" w:styleId="57">
    <w:name w:val="TF"/>
    <w:basedOn w:val="37"/>
    <w:link w:val="93"/>
    <w:qFormat/>
    <w:uiPriority w:val="0"/>
    <w:pPr>
      <w:keepNext w:val="0"/>
      <w:spacing w:before="0" w:after="240"/>
    </w:pPr>
    <w:rPr>
      <w:lang w:val="en-GB"/>
    </w:rPr>
  </w:style>
  <w:style w:type="paragraph" w:customStyle="1" w:styleId="58">
    <w:name w:val="z-窗体底端1"/>
    <w:basedOn w:val="1"/>
    <w:next w:val="1"/>
    <w:link w:val="107"/>
    <w:unhideWhenUsed/>
    <w:qFormat/>
    <w:uiPriority w:val="99"/>
    <w:pPr>
      <w:pBdr>
        <w:top w:val="single" w:color="auto" w:sz="6" w:space="1"/>
      </w:pBdr>
      <w:jc w:val="center"/>
    </w:pPr>
    <w:rPr>
      <w:rFonts w:ascii="Arial" w:hAnsi="Arial"/>
      <w:vanish/>
      <w:sz w:val="16"/>
      <w:szCs w:val="16"/>
    </w:rPr>
  </w:style>
  <w:style w:type="paragraph" w:customStyle="1" w:styleId="59">
    <w:name w:val="修订1"/>
    <w:semiHidden/>
    <w:qFormat/>
    <w:uiPriority w:val="99"/>
    <w:pPr>
      <w:spacing w:after="160" w:line="259" w:lineRule="auto"/>
    </w:pPr>
    <w:rPr>
      <w:rFonts w:ascii="Calibri" w:hAnsi="Calibri" w:eastAsia="宋体" w:cs="Times New Roman"/>
      <w:sz w:val="22"/>
      <w:szCs w:val="22"/>
      <w:lang w:val="en-US" w:eastAsia="zh-CN" w:bidi="ar-SA"/>
    </w:rPr>
  </w:style>
  <w:style w:type="paragraph" w:customStyle="1" w:styleId="60">
    <w:name w:val="_Style 55"/>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61">
    <w:name w:val="_Style 10"/>
    <w:basedOn w:val="1"/>
    <w:qFormat/>
    <w:uiPriority w:val="34"/>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840" w:leftChars="400"/>
    </w:pPr>
  </w:style>
  <w:style w:type="paragraph" w:customStyle="1" w:styleId="62">
    <w:name w:val="B3"/>
    <w:basedOn w:val="11"/>
    <w:qFormat/>
    <w:uiPriority w:val="0"/>
    <w:pPr>
      <w:spacing w:after="180"/>
      <w:ind w:left="1135" w:leftChars="0" w:hanging="284" w:firstLineChars="0"/>
    </w:pPr>
    <w:rPr>
      <w:rFonts w:eastAsia="MS Mincho"/>
      <w:szCs w:val="20"/>
      <w:lang w:eastAsia="en-US"/>
    </w:rPr>
  </w:style>
  <w:style w:type="paragraph" w:customStyle="1" w:styleId="63">
    <w:name w:val="RAN1 text"/>
    <w:basedOn w:val="16"/>
    <w:qFormat/>
    <w:uiPriority w:val="0"/>
    <w:rPr>
      <w:rFonts w:eastAsia="MS Mincho"/>
    </w:rPr>
  </w:style>
  <w:style w:type="paragraph" w:customStyle="1" w:styleId="64">
    <w:name w:val="列出段落3"/>
    <w:basedOn w:val="1"/>
    <w:qFormat/>
    <w:uiPriority w:val="99"/>
    <w:pPr>
      <w:ind w:firstLine="420" w:firstLineChars="200"/>
    </w:pPr>
  </w:style>
  <w:style w:type="paragraph" w:customStyle="1" w:styleId="65">
    <w:name w:val="_Style 1"/>
    <w:basedOn w:val="1"/>
    <w:qFormat/>
    <w:uiPriority w:val="34"/>
    <w:pPr>
      <w:ind w:left="840" w:leftChars="400"/>
    </w:pPr>
  </w:style>
  <w:style w:type="paragraph" w:customStyle="1" w:styleId="66">
    <w:name w:val="列出段落2"/>
    <w:basedOn w:val="1"/>
    <w:qFormat/>
    <w:uiPriority w:val="99"/>
    <w:pPr>
      <w:ind w:left="720"/>
      <w:contextualSpacing/>
    </w:pPr>
  </w:style>
  <w:style w:type="paragraph" w:customStyle="1" w:styleId="67">
    <w:name w:val="B1"/>
    <w:basedOn w:val="19"/>
    <w:qFormat/>
    <w:uiPriority w:val="0"/>
  </w:style>
  <w:style w:type="paragraph" w:customStyle="1" w:styleId="68">
    <w:name w:val="List Paragraph1"/>
    <w:basedOn w:val="1"/>
    <w:unhideWhenUsed/>
    <w:qFormat/>
    <w:uiPriority w:val="99"/>
    <w:pPr>
      <w:ind w:firstLine="420" w:firstLineChars="200"/>
    </w:pPr>
  </w:style>
  <w:style w:type="paragraph" w:customStyle="1" w:styleId="69">
    <w:name w:val="列出段落1"/>
    <w:basedOn w:val="1"/>
    <w:link w:val="91"/>
    <w:qFormat/>
    <w:uiPriority w:val="34"/>
    <w:pPr>
      <w:widowControl w:val="0"/>
      <w:ind w:firstLine="420" w:firstLineChars="200"/>
    </w:pPr>
    <w:rPr>
      <w:kern w:val="2"/>
      <w:sz w:val="21"/>
      <w:szCs w:val="24"/>
    </w:rPr>
  </w:style>
  <w:style w:type="paragraph" w:customStyle="1" w:styleId="70">
    <w:name w:val="Revision2"/>
    <w:unhideWhenUsed/>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71">
    <w:name w:val="List Paragraph7"/>
    <w:basedOn w:val="1"/>
    <w:qFormat/>
    <w:uiPriority w:val="34"/>
    <w:pPr>
      <w:ind w:firstLine="420"/>
    </w:pPr>
    <w:rPr>
      <w:rFonts w:ascii="MS PGothic" w:hAnsi="MS PGothic" w:eastAsia="MS PGothic" w:cs="宋体"/>
      <w:sz w:val="24"/>
      <w:szCs w:val="24"/>
    </w:rPr>
  </w:style>
  <w:style w:type="paragraph" w:customStyle="1" w:styleId="72">
    <w:name w:val="表格文字居左"/>
    <w:basedOn w:val="1"/>
    <w:next w:val="1"/>
    <w:qFormat/>
    <w:uiPriority w:val="0"/>
    <w:pPr>
      <w:widowControl w:val="0"/>
    </w:pPr>
    <w:rPr>
      <w:rFonts w:ascii="Arial" w:hAnsi="Arial" w:cs="宋体"/>
      <w:kern w:val="2"/>
      <w:sz w:val="21"/>
      <w:szCs w:val="20"/>
    </w:rPr>
  </w:style>
  <w:style w:type="paragraph" w:customStyle="1" w:styleId="73">
    <w:name w:val="_Style 3"/>
    <w:basedOn w:val="1"/>
    <w:qFormat/>
    <w:uiPriority w:val="34"/>
    <w:pPr>
      <w:ind w:left="840" w:leftChars="400"/>
    </w:p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szCs w:val="22"/>
      <w:lang w:val="en-US" w:eastAsia="zh-CN" w:bidi="ar-SA"/>
    </w:rPr>
  </w:style>
  <w:style w:type="paragraph" w:customStyle="1" w:styleId="75">
    <w:name w:val="List Paragraph6"/>
    <w:basedOn w:val="1"/>
    <w:qFormat/>
    <w:uiPriority w:val="99"/>
    <w:pPr>
      <w:ind w:firstLine="420" w:firstLineChars="200"/>
    </w:pPr>
  </w:style>
  <w:style w:type="paragraph" w:customStyle="1" w:styleId="76">
    <w:name w:val="tablecell"/>
    <w:basedOn w:val="1"/>
    <w:qFormat/>
    <w:uiPriority w:val="0"/>
    <w:pPr>
      <w:autoSpaceDE w:val="0"/>
      <w:autoSpaceDN w:val="0"/>
      <w:spacing w:before="40" w:after="40"/>
    </w:pPr>
    <w:rPr>
      <w:lang w:eastAsia="en-US"/>
    </w:rPr>
  </w:style>
  <w:style w:type="paragraph" w:customStyle="1" w:styleId="77">
    <w:name w:val="tableheader"/>
    <w:basedOn w:val="1"/>
    <w:qFormat/>
    <w:uiPriority w:val="0"/>
    <w:pPr>
      <w:spacing w:before="40" w:after="40"/>
      <w:jc w:val="center"/>
    </w:pPr>
    <w:rPr>
      <w:rFonts w:cs="Calibri"/>
      <w:b/>
      <w:bCs/>
      <w:color w:val="000000"/>
      <w:lang w:eastAsia="en-US"/>
    </w:rPr>
  </w:style>
  <w:style w:type="paragraph" w:customStyle="1" w:styleId="78">
    <w:name w:val="Test"/>
    <w:basedOn w:val="1"/>
    <w:qFormat/>
    <w:uiPriority w:val="0"/>
    <w:pPr>
      <w:spacing w:before="60" w:after="60" w:line="280" w:lineRule="atLeast"/>
      <w:ind w:left="2160"/>
    </w:pPr>
    <w:rPr>
      <w:rFonts w:eastAsia="MS Mincho"/>
      <w:szCs w:val="20"/>
      <w:lang w:eastAsia="en-US"/>
    </w:rPr>
  </w:style>
  <w:style w:type="paragraph" w:customStyle="1" w:styleId="79">
    <w:name w:val="main text"/>
    <w:basedOn w:val="1"/>
    <w:link w:val="108"/>
    <w:qFormat/>
    <w:uiPriority w:val="0"/>
    <w:pPr>
      <w:spacing w:before="60" w:after="60"/>
      <w:ind w:firstLine="200" w:firstLineChars="200"/>
    </w:pPr>
    <w:rPr>
      <w:rFonts w:eastAsia="Malgun Gothic"/>
      <w:szCs w:val="20"/>
      <w:lang w:eastAsia="ko-KR"/>
    </w:rPr>
  </w:style>
  <w:style w:type="paragraph" w:customStyle="1" w:styleId="80">
    <w:name w:val="Revision1"/>
    <w:semiHidden/>
    <w:qFormat/>
    <w:uiPriority w:val="99"/>
    <w:pPr>
      <w:spacing w:after="160" w:line="259" w:lineRule="auto"/>
    </w:pPr>
    <w:rPr>
      <w:rFonts w:ascii="Times New Roman" w:hAnsi="Times New Roman" w:eastAsia="宋体" w:cs="Times New Roman"/>
      <w:szCs w:val="22"/>
      <w:lang w:val="en-US" w:eastAsia="zh-CN" w:bidi="ar-SA"/>
    </w:rPr>
  </w:style>
  <w:style w:type="paragraph" w:customStyle="1" w:styleId="81">
    <w:name w:val="RAN1 bullet1"/>
    <w:basedOn w:val="1"/>
    <w:qFormat/>
    <w:uiPriority w:val="0"/>
    <w:pPr>
      <w:numPr>
        <w:ilvl w:val="0"/>
        <w:numId w:val="3"/>
      </w:numPr>
    </w:pPr>
  </w:style>
  <w:style w:type="paragraph" w:customStyle="1" w:styleId="82">
    <w:name w:val="List Paragraph2"/>
    <w:basedOn w:val="1"/>
    <w:qFormat/>
    <w:uiPriority w:val="99"/>
    <w:pPr>
      <w:ind w:firstLine="420" w:firstLineChars="200"/>
    </w:pPr>
  </w:style>
  <w:style w:type="paragraph" w:customStyle="1" w:styleId="83">
    <w:name w:val="ZA"/>
    <w:qFormat/>
    <w:uiPriority w:val="0"/>
    <w:pPr>
      <w:widowControl w:val="0"/>
      <w:pBdr>
        <w:bottom w:val="single" w:color="auto" w:sz="12" w:space="1"/>
      </w:pBdr>
      <w:spacing w:after="160" w:line="259" w:lineRule="auto"/>
      <w:jc w:val="right"/>
    </w:pPr>
    <w:rPr>
      <w:rFonts w:ascii="Arial" w:hAnsi="Arial" w:eastAsia="宋体" w:cs="Times New Roman"/>
      <w:sz w:val="40"/>
      <w:lang w:val="en-US" w:eastAsia="en-US" w:bidi="ar-SA"/>
    </w:rPr>
  </w:style>
  <w:style w:type="paragraph" w:customStyle="1" w:styleId="84">
    <w:name w:val="z-窗体顶端1"/>
    <w:basedOn w:val="1"/>
    <w:next w:val="1"/>
    <w:link w:val="89"/>
    <w:unhideWhenUsed/>
    <w:qFormat/>
    <w:uiPriority w:val="99"/>
    <w:pPr>
      <w:pBdr>
        <w:bottom w:val="single" w:color="auto" w:sz="6" w:space="1"/>
      </w:pBdr>
      <w:jc w:val="center"/>
    </w:pPr>
    <w:rPr>
      <w:rFonts w:ascii="Arial" w:hAnsi="Arial"/>
      <w:vanish/>
      <w:sz w:val="16"/>
      <w:szCs w:val="16"/>
    </w:rPr>
  </w:style>
  <w:style w:type="character" w:customStyle="1" w:styleId="85">
    <w:name w:val="Heading 7 Char"/>
    <w:link w:val="8"/>
    <w:semiHidden/>
    <w:qFormat/>
    <w:uiPriority w:val="9"/>
    <w:rPr>
      <w:b/>
      <w:bCs/>
      <w:sz w:val="24"/>
      <w:szCs w:val="24"/>
      <w:lang w:val="en-US" w:eastAsia="zh-CN"/>
    </w:rPr>
  </w:style>
  <w:style w:type="character" w:customStyle="1" w:styleId="86">
    <w:name w:val="TH Char"/>
    <w:link w:val="37"/>
    <w:qFormat/>
    <w:uiPriority w:val="0"/>
    <w:rPr>
      <w:rFonts w:ascii="Arial" w:hAnsi="Arial"/>
      <w:b/>
      <w:lang w:eastAsia="en-US"/>
    </w:rPr>
  </w:style>
  <w:style w:type="character" w:customStyle="1" w:styleId="87">
    <w:name w:val="Body Text Char"/>
    <w:link w:val="16"/>
    <w:qFormat/>
    <w:uiPriority w:val="0"/>
    <w:rPr>
      <w:rFonts w:ascii="Times New Roman" w:hAnsi="Times New Roman" w:eastAsia="宋体"/>
      <w:color w:val="000000"/>
      <w:kern w:val="2"/>
      <w:sz w:val="21"/>
    </w:rPr>
  </w:style>
  <w:style w:type="character" w:customStyle="1" w:styleId="88">
    <w:name w:val="Date Char"/>
    <w:link w:val="21"/>
    <w:semiHidden/>
    <w:qFormat/>
    <w:uiPriority w:val="99"/>
    <w:rPr>
      <w:sz w:val="22"/>
      <w:szCs w:val="22"/>
    </w:rPr>
  </w:style>
  <w:style w:type="character" w:customStyle="1" w:styleId="89">
    <w:name w:val="z-窗体顶端 Char"/>
    <w:link w:val="84"/>
    <w:semiHidden/>
    <w:qFormat/>
    <w:uiPriority w:val="99"/>
    <w:rPr>
      <w:rFonts w:ascii="Arial" w:hAnsi="Arial" w:cs="Arial"/>
      <w:vanish/>
      <w:sz w:val="16"/>
      <w:szCs w:val="16"/>
    </w:rPr>
  </w:style>
  <w:style w:type="character" w:customStyle="1" w:styleId="90">
    <w:name w:val="Comment Subject Char"/>
    <w:link w:val="26"/>
    <w:semiHidden/>
    <w:qFormat/>
    <w:uiPriority w:val="99"/>
    <w:rPr>
      <w:b/>
      <w:bCs/>
    </w:rPr>
  </w:style>
  <w:style w:type="character" w:customStyle="1" w:styleId="91">
    <w:name w:val="列出段落 Char"/>
    <w:link w:val="69"/>
    <w:qFormat/>
    <w:uiPriority w:val="34"/>
    <w:rPr>
      <w:rFonts w:ascii="Times New Roman" w:hAnsi="Times New Roman"/>
      <w:kern w:val="2"/>
      <w:sz w:val="21"/>
      <w:szCs w:val="24"/>
    </w:rPr>
  </w:style>
  <w:style w:type="character" w:customStyle="1" w:styleId="92">
    <w:name w:val="Header Char"/>
    <w:link w:val="24"/>
    <w:qFormat/>
    <w:uiPriority w:val="99"/>
    <w:rPr>
      <w:rFonts w:ascii="Arial" w:hAnsi="Arial" w:eastAsia="MS Mincho"/>
      <w:b/>
      <w:szCs w:val="24"/>
      <w:lang w:eastAsia="en-US"/>
    </w:rPr>
  </w:style>
  <w:style w:type="character" w:customStyle="1" w:styleId="93">
    <w:name w:val="TF Char"/>
    <w:link w:val="57"/>
    <w:qFormat/>
    <w:uiPriority w:val="0"/>
    <w:rPr>
      <w:rFonts w:ascii="Arial" w:hAnsi="Arial"/>
      <w:b/>
      <w:lang w:val="en-GB" w:eastAsia="en-US"/>
    </w:rPr>
  </w:style>
  <w:style w:type="character" w:customStyle="1" w:styleId="94">
    <w:name w:val="Heading 6 Char"/>
    <w:link w:val="7"/>
    <w:semiHidden/>
    <w:qFormat/>
    <w:uiPriority w:val="9"/>
    <w:rPr>
      <w:rFonts w:ascii="Cambria" w:hAnsi="Cambria" w:eastAsia="宋体" w:cs="黑体"/>
      <w:b/>
      <w:bCs/>
      <w:sz w:val="24"/>
      <w:szCs w:val="24"/>
      <w:lang w:val="en-US" w:eastAsia="zh-CN"/>
    </w:rPr>
  </w:style>
  <w:style w:type="character" w:customStyle="1" w:styleId="95">
    <w:name w:val="Heading 4 Char"/>
    <w:link w:val="5"/>
    <w:qFormat/>
    <w:uiPriority w:val="0"/>
    <w:rPr>
      <w:rFonts w:ascii="Times New Roman" w:hAnsi="Times New Roman"/>
      <w:b/>
      <w:sz w:val="28"/>
      <w:szCs w:val="28"/>
      <w:lang w:eastAsia="zh-CN"/>
    </w:rPr>
  </w:style>
  <w:style w:type="character" w:customStyle="1" w:styleId="96">
    <w:name w:val="Heading 9 Char"/>
    <w:link w:val="10"/>
    <w:semiHidden/>
    <w:qFormat/>
    <w:uiPriority w:val="9"/>
    <w:rPr>
      <w:rFonts w:ascii="Cambria" w:hAnsi="Cambria" w:eastAsia="宋体" w:cs="黑体"/>
      <w:sz w:val="21"/>
      <w:szCs w:val="21"/>
      <w:lang w:val="en-US" w:eastAsia="zh-CN"/>
    </w:rPr>
  </w:style>
  <w:style w:type="character" w:customStyle="1" w:styleId="97">
    <w:name w:val="Plain Text Char"/>
    <w:link w:val="20"/>
    <w:qFormat/>
    <w:uiPriority w:val="99"/>
    <w:rPr>
      <w:rFonts w:eastAsia="Calibri"/>
      <w:sz w:val="22"/>
      <w:szCs w:val="21"/>
      <w:lang w:eastAsia="en-US"/>
    </w:rPr>
  </w:style>
  <w:style w:type="character" w:customStyle="1" w:styleId="98">
    <w:name w:val="apple-converted-space"/>
    <w:basedOn w:val="29"/>
    <w:qFormat/>
    <w:uiPriority w:val="0"/>
  </w:style>
  <w:style w:type="character" w:customStyle="1" w:styleId="99">
    <w:name w:val="Heading 5 Char"/>
    <w:link w:val="6"/>
    <w:qFormat/>
    <w:uiPriority w:val="0"/>
    <w:rPr>
      <w:rFonts w:ascii="Times New Roman" w:hAnsi="Times New Roman"/>
      <w:b/>
      <w:sz w:val="24"/>
      <w:szCs w:val="24"/>
      <w:lang w:eastAsia="zh-CN"/>
    </w:rPr>
  </w:style>
  <w:style w:type="character" w:customStyle="1" w:styleId="100">
    <w:name w:val="Caption Char"/>
    <w:link w:val="13"/>
    <w:qFormat/>
    <w:uiPriority w:val="0"/>
    <w:rPr>
      <w:rFonts w:ascii="Times New Roman" w:hAnsi="Times New Roman"/>
      <w:b/>
      <w:bCs/>
    </w:rPr>
  </w:style>
  <w:style w:type="character" w:customStyle="1" w:styleId="101">
    <w:name w:val="Body Text Indent Char"/>
    <w:link w:val="17"/>
    <w:semiHidden/>
    <w:qFormat/>
    <w:uiPriority w:val="99"/>
    <w:rPr>
      <w:sz w:val="22"/>
      <w:szCs w:val="22"/>
    </w:rPr>
  </w:style>
  <w:style w:type="character" w:customStyle="1" w:styleId="102">
    <w:name w:val="Heading 8 Char"/>
    <w:link w:val="9"/>
    <w:semiHidden/>
    <w:qFormat/>
    <w:uiPriority w:val="9"/>
    <w:rPr>
      <w:rFonts w:ascii="Cambria" w:hAnsi="Cambria" w:eastAsia="宋体" w:cs="黑体"/>
      <w:sz w:val="24"/>
      <w:szCs w:val="24"/>
      <w:lang w:val="en-US" w:eastAsia="zh-CN"/>
    </w:rPr>
  </w:style>
  <w:style w:type="character" w:customStyle="1" w:styleId="103">
    <w:name w:val="short_text"/>
    <w:basedOn w:val="29"/>
    <w:qFormat/>
    <w:uiPriority w:val="0"/>
  </w:style>
  <w:style w:type="character" w:customStyle="1" w:styleId="104">
    <w:name w:val="Footer Char"/>
    <w:link w:val="23"/>
    <w:qFormat/>
    <w:uiPriority w:val="99"/>
    <w:rPr>
      <w:sz w:val="18"/>
      <w:szCs w:val="18"/>
    </w:rPr>
  </w:style>
  <w:style w:type="character" w:customStyle="1" w:styleId="105">
    <w:name w:val="Comment Text Char"/>
    <w:basedOn w:val="29"/>
    <w:link w:val="15"/>
    <w:qFormat/>
    <w:uiPriority w:val="99"/>
  </w:style>
  <w:style w:type="character" w:customStyle="1" w:styleId="106">
    <w:name w:val="hps"/>
    <w:basedOn w:val="29"/>
    <w:qFormat/>
    <w:uiPriority w:val="0"/>
  </w:style>
  <w:style w:type="character" w:customStyle="1" w:styleId="107">
    <w:name w:val="z-窗体底端 Char"/>
    <w:link w:val="58"/>
    <w:semiHidden/>
    <w:qFormat/>
    <w:uiPriority w:val="99"/>
    <w:rPr>
      <w:rFonts w:ascii="Arial" w:hAnsi="Arial" w:cs="Arial"/>
      <w:vanish/>
      <w:sz w:val="16"/>
      <w:szCs w:val="16"/>
    </w:rPr>
  </w:style>
  <w:style w:type="character" w:customStyle="1" w:styleId="108">
    <w:name w:val="main text Char"/>
    <w:link w:val="79"/>
    <w:qFormat/>
    <w:uiPriority w:val="0"/>
    <w:rPr>
      <w:rFonts w:ascii="Times New Roman" w:hAnsi="Times New Roman" w:eastAsia="Malgun Gothic"/>
      <w:lang w:eastAsia="ko-KR"/>
    </w:rPr>
  </w:style>
  <w:style w:type="character" w:customStyle="1" w:styleId="109">
    <w:name w:val="Balloon Text Char"/>
    <w:link w:val="22"/>
    <w:semiHidden/>
    <w:qFormat/>
    <w:uiPriority w:val="99"/>
    <w:rPr>
      <w:rFonts w:ascii="Tahoma" w:hAnsi="Tahoma" w:cs="Tahoma"/>
      <w:sz w:val="16"/>
      <w:szCs w:val="16"/>
    </w:rPr>
  </w:style>
  <w:style w:type="character" w:customStyle="1" w:styleId="110">
    <w:name w:val="keyword"/>
    <w:basedOn w:val="29"/>
    <w:qFormat/>
    <w:uiPriority w:val="0"/>
  </w:style>
  <w:style w:type="character" w:customStyle="1" w:styleId="111">
    <w:name w:val="Document Map Char"/>
    <w:link w:val="14"/>
    <w:qFormat/>
    <w:uiPriority w:val="0"/>
    <w:rPr>
      <w:rFonts w:ascii="宋体"/>
      <w:sz w:val="18"/>
      <w:szCs w:val="18"/>
    </w:rPr>
  </w:style>
  <w:style w:type="character" w:customStyle="1" w:styleId="112">
    <w:name w:val="Doc-text2 Char"/>
    <w:link w:val="55"/>
    <w:qFormat/>
    <w:uiPriority w:val="0"/>
    <w:rPr>
      <w:rFonts w:ascii="Arial" w:hAnsi="Arial" w:eastAsia="MS Mincho"/>
      <w:szCs w:val="24"/>
    </w:rPr>
  </w:style>
  <w:style w:type="paragraph" w:customStyle="1" w:styleId="113">
    <w:name w:val="Style1"/>
    <w:basedOn w:val="1"/>
    <w:qFormat/>
    <w:uiPriority w:val="0"/>
    <w:pPr>
      <w:spacing w:after="100" w:afterAutospacing="1" w:line="300" w:lineRule="auto"/>
      <w:ind w:firstLine="360"/>
      <w:contextualSpacing/>
    </w:pPr>
    <w:rPr>
      <w:rFonts w:eastAsia="宋体"/>
      <w:szCs w:val="20"/>
    </w:rPr>
  </w:style>
  <w:style w:type="paragraph" w:customStyle="1" w:styleId="114">
    <w:name w:val="样式 正文缩进d + 首行缩进:  2 字符 段前: 0.35 行"/>
    <w:basedOn w:val="12"/>
    <w:qFormat/>
    <w:uiPriority w:val="0"/>
    <w:pPr>
      <w:spacing w:beforeLines="35" w:line="460" w:lineRule="exact"/>
      <w:ind w:firstLine="560"/>
    </w:pPr>
    <w:rPr>
      <w:rFonts w:cs="宋体"/>
    </w:rPr>
  </w:style>
  <w:style w:type="paragraph" w:customStyle="1" w:styleId="115">
    <w:name w:val="Revision3"/>
    <w:hidden/>
    <w:semiHidden/>
    <w:qFormat/>
    <w:uiPriority w:val="99"/>
    <w:pPr>
      <w:spacing w:after="160" w:line="259" w:lineRule="auto"/>
    </w:pPr>
    <w:rPr>
      <w:rFonts w:ascii="Times New Roman" w:hAnsi="Times New Roman" w:eastAsia="Times New Roman" w:cs="Times New Roman"/>
      <w:szCs w:val="22"/>
      <w:lang w:val="en-US" w:eastAsia="zh-CN" w:bidi="ar-SA"/>
    </w:rPr>
  </w:style>
  <w:style w:type="character" w:customStyle="1" w:styleId="116">
    <w:name w:val="TAC Char"/>
    <w:link w:val="44"/>
    <w:qFormat/>
    <w:uiPriority w:val="0"/>
    <w:rPr>
      <w:rFonts w:ascii="Arial" w:hAnsi="Arial" w:eastAsia="Times New Roman" w:cs="Times New Roman"/>
      <w:sz w:val="18"/>
      <w:lang w:eastAsia="en-US"/>
    </w:rPr>
  </w:style>
  <w:style w:type="character" w:customStyle="1" w:styleId="117">
    <w:name w:val="TAH Car"/>
    <w:link w:val="43"/>
    <w:qFormat/>
    <w:uiPriority w:val="0"/>
    <w:rPr>
      <w:rFonts w:ascii="Arial" w:hAnsi="Arial" w:eastAsia="Times New Roman" w:cs="Times New Roman"/>
      <w:b/>
      <w:sz w:val="18"/>
      <w:lang w:eastAsia="en-US"/>
    </w:rPr>
  </w:style>
  <w:style w:type="character" w:customStyle="1" w:styleId="118">
    <w:name w:val="List Paragraph Char"/>
    <w:link w:val="50"/>
    <w:qFormat/>
    <w:locked/>
    <w:uiPriority w:val="34"/>
    <w:rPr>
      <w:rFonts w:ascii="Times" w:hAnsi="Times" w:eastAsia="Batang" w:cs="Times New Roman"/>
      <w:szCs w:val="24"/>
      <w:lang w:val="en-GB"/>
    </w:rPr>
  </w:style>
  <w:style w:type="paragraph" w:customStyle="1" w:styleId="119">
    <w:name w:val="References"/>
    <w:basedOn w:val="1"/>
    <w:qFormat/>
    <w:uiPriority w:val="0"/>
    <w:pPr>
      <w:numPr>
        <w:ilvl w:val="0"/>
        <w:numId w:val="4"/>
      </w:numPr>
      <w:spacing w:after="60"/>
    </w:pPr>
    <w:rPr>
      <w:szCs w:val="16"/>
    </w:rPr>
  </w:style>
  <w:style w:type="paragraph" w:customStyle="1" w:styleId="120">
    <w:name w:val="Revision4"/>
    <w:hidden/>
    <w:semiHidden/>
    <w:qFormat/>
    <w:uiPriority w:val="99"/>
    <w:pPr>
      <w:spacing w:after="160" w:line="259" w:lineRule="auto"/>
    </w:pPr>
    <w:rPr>
      <w:rFonts w:ascii="Times New Roman" w:hAnsi="Times New Roman" w:eastAsia="Times New Roman" w:cs="Times New Roman"/>
      <w:szCs w:val="22"/>
      <w:lang w:val="en-US" w:eastAsia="zh-CN" w:bidi="ar-SA"/>
    </w:rPr>
  </w:style>
  <w:style w:type="paragraph" w:customStyle="1" w:styleId="121">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22">
    <w:name w:val="paragraph"/>
    <w:basedOn w:val="1"/>
    <w:qFormat/>
    <w:uiPriority w:val="99"/>
    <w:pPr>
      <w:spacing w:before="100" w:beforeAutospacing="1" w:after="100" w:afterAutospacing="1"/>
    </w:pPr>
    <w:rPr>
      <w:sz w:val="24"/>
      <w:lang w:val="sv-SE"/>
    </w:rPr>
  </w:style>
  <w:style w:type="paragraph" w:customStyle="1" w:styleId="123">
    <w:name w:val="tal"/>
    <w:basedOn w:val="1"/>
    <w:qFormat/>
    <w:uiPriority w:val="0"/>
    <w:pPr>
      <w:keepNext/>
      <w:spacing w:after="0" w:line="240" w:lineRule="auto"/>
    </w:pPr>
    <w:rPr>
      <w:rFonts w:ascii="Arial" w:hAnsi="Arial" w:eastAsia="Gulim" w:cs="Arial"/>
      <w:sz w:val="18"/>
      <w:szCs w:val="18"/>
      <w:lang w:eastAsia="ko-KR"/>
    </w:rPr>
  </w:style>
  <w:style w:type="paragraph" w:styleId="124">
    <w:name w:val="No Spacing"/>
    <w:qFormat/>
    <w:uiPriority w:val="1"/>
    <w:pPr>
      <w:spacing w:after="160" w:line="259" w:lineRule="auto"/>
    </w:pPr>
    <w:rPr>
      <w:rFonts w:ascii="Calibri" w:hAnsi="Calibri"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jpeg"/><Relationship Id="rId13" Type="http://schemas.openxmlformats.org/officeDocument/2006/relationships/image" Target="media/image4.emf"/><Relationship Id="rId12" Type="http://schemas.openxmlformats.org/officeDocument/2006/relationships/image" Target="media/image3.emf"/><Relationship Id="rId11" Type="http://schemas.openxmlformats.org/officeDocument/2006/relationships/image" Target="media/image2.emf"/><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17</Pages>
  <Words>6005</Words>
  <Characters>34234</Characters>
  <Lines>285</Lines>
  <Paragraphs>80</Paragraphs>
  <TotalTime>2</TotalTime>
  <ScaleCrop>false</ScaleCrop>
  <LinksUpToDate>false</LinksUpToDate>
  <CharactersWithSpaces>40159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2022-08-12T10:00:00Z</dcterms:created>
  <dc:creator>ZTE</dc:creator>
  <cp:lastModifiedBy>ZTE</cp:lastModifiedBy>
  <dcterms:modified xsi:type="dcterms:W3CDTF">2022-09-30T09:03:39Z</dcterms:modified>
  <dc:title>Full Tx Power</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